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029F" w14:textId="0AE9C430" w:rsidR="0002058E" w:rsidRPr="00F45BCE" w:rsidRDefault="0090362B" w:rsidP="00F45BCE">
      <w:pPr>
        <w:pStyle w:val="Title"/>
      </w:pPr>
      <w:bookmarkStart w:id="0" w:name="_Toc139973144"/>
      <w:bookmarkStart w:id="1" w:name="_Toc140574826"/>
      <w:bookmarkStart w:id="2" w:name="_Toc143668004"/>
      <w:bookmarkStart w:id="3" w:name="_Toc143702564"/>
      <w:bookmarkStart w:id="4" w:name="_Toc143703254"/>
      <w:bookmarkStart w:id="5" w:name="_Toc144283799"/>
      <w:bookmarkStart w:id="6" w:name="_Toc145238117"/>
      <w:bookmarkStart w:id="7" w:name="_Toc145687841"/>
      <w:bookmarkStart w:id="8" w:name="_Toc156044297"/>
      <w:r w:rsidRPr="00F45BCE">
        <w:t>A</w:t>
      </w:r>
      <w:r w:rsidR="00DC1B31" w:rsidRPr="00F45BCE">
        <w:t>n a</w:t>
      </w:r>
      <w:r w:rsidRPr="00F45BCE">
        <w:t>ssessment of</w:t>
      </w:r>
      <w:r w:rsidR="0002058E" w:rsidRPr="00F45BCE">
        <w:t xml:space="preserve"> </w:t>
      </w:r>
      <w:r w:rsidR="00DC1B31" w:rsidRPr="00F45BCE">
        <w:t xml:space="preserve">the New Zealand </w:t>
      </w:r>
      <w:r w:rsidR="00121F9F" w:rsidRPr="00F45BCE">
        <w:t xml:space="preserve">transgender medicine </w:t>
      </w:r>
      <w:r w:rsidR="0002058E" w:rsidRPr="00F45BCE">
        <w:t>guideline</w:t>
      </w:r>
      <w:bookmarkEnd w:id="0"/>
      <w:bookmarkEnd w:id="1"/>
      <w:bookmarkEnd w:id="2"/>
      <w:bookmarkEnd w:id="3"/>
      <w:bookmarkEnd w:id="4"/>
      <w:bookmarkEnd w:id="5"/>
      <w:bookmarkEnd w:id="6"/>
      <w:bookmarkEnd w:id="7"/>
      <w:bookmarkEnd w:id="8"/>
    </w:p>
    <w:bookmarkStart w:id="9" w:name="_Toc143668005" w:displacedByCustomXml="next"/>
    <w:bookmarkStart w:id="10" w:name="_Toc140574827" w:displacedByCustomXml="next"/>
    <w:sdt>
      <w:sdtPr>
        <w:rPr>
          <w:rFonts w:ascii="Calibri" w:eastAsia="Times New Roman" w:hAnsi="Calibri" w:cs="Arial"/>
          <w:color w:val="auto"/>
          <w:kern w:val="2"/>
          <w:sz w:val="22"/>
          <w:szCs w:val="22"/>
          <w:lang w:val="en-NZ" w:eastAsia="en-NZ"/>
        </w:rPr>
        <w:id w:val="-2130769892"/>
        <w:docPartObj>
          <w:docPartGallery w:val="Table of Contents"/>
          <w:docPartUnique/>
        </w:docPartObj>
      </w:sdtPr>
      <w:sdtEndPr>
        <w:rPr>
          <w:b/>
          <w:bCs/>
          <w:noProof/>
        </w:rPr>
      </w:sdtEndPr>
      <w:sdtContent>
        <w:p w14:paraId="4E257F77" w14:textId="2BB45724" w:rsidR="00B26FBA" w:rsidRDefault="00B26FBA">
          <w:pPr>
            <w:pStyle w:val="TOCHeading"/>
          </w:pPr>
          <w:r>
            <w:t>Contents</w:t>
          </w:r>
        </w:p>
        <w:p w14:paraId="5BC8D076" w14:textId="5466C50D" w:rsidR="009C78FE" w:rsidRDefault="00B26FBA">
          <w:pPr>
            <w:pStyle w:val="TOC1"/>
            <w:rPr>
              <w:rFonts w:asciiTheme="minorHAnsi" w:eastAsiaTheme="minorEastAsia" w:hAnsiTheme="minorHAnsi" w:cstheme="minorBidi"/>
              <w:noProof/>
              <w:sz w:val="24"/>
              <w:szCs w:val="24"/>
            </w:rPr>
          </w:pPr>
          <w:r>
            <w:fldChar w:fldCharType="begin"/>
          </w:r>
          <w:r>
            <w:instrText xml:space="preserve"> TOC \o "1-3" \h \z \u </w:instrText>
          </w:r>
          <w:r>
            <w:fldChar w:fldCharType="separate"/>
          </w:r>
          <w:hyperlink w:anchor="_Toc156044297" w:history="1"/>
        </w:p>
        <w:p w14:paraId="41F2236C" w14:textId="0946DD2D" w:rsidR="009C78FE" w:rsidRDefault="009C78FE">
          <w:pPr>
            <w:pStyle w:val="TOC2"/>
            <w:rPr>
              <w:rFonts w:asciiTheme="minorHAnsi" w:eastAsiaTheme="minorEastAsia" w:hAnsiTheme="minorHAnsi" w:cstheme="minorBidi"/>
              <w:noProof/>
              <w:sz w:val="24"/>
              <w:szCs w:val="24"/>
            </w:rPr>
          </w:pPr>
          <w:hyperlink w:anchor="_Toc156044298" w:history="1">
            <w:r w:rsidRPr="005162D8">
              <w:rPr>
                <w:rStyle w:val="Hyperlink"/>
                <w:noProof/>
              </w:rPr>
              <w:t>Abstract</w:t>
            </w:r>
            <w:r>
              <w:rPr>
                <w:noProof/>
                <w:webHidden/>
              </w:rPr>
              <w:tab/>
            </w:r>
            <w:r>
              <w:rPr>
                <w:noProof/>
                <w:webHidden/>
              </w:rPr>
              <w:fldChar w:fldCharType="begin"/>
            </w:r>
            <w:r>
              <w:rPr>
                <w:noProof/>
                <w:webHidden/>
              </w:rPr>
              <w:instrText xml:space="preserve"> PAGEREF _Toc156044298 \h </w:instrText>
            </w:r>
            <w:r>
              <w:rPr>
                <w:noProof/>
                <w:webHidden/>
              </w:rPr>
            </w:r>
            <w:r>
              <w:rPr>
                <w:noProof/>
                <w:webHidden/>
              </w:rPr>
              <w:fldChar w:fldCharType="separate"/>
            </w:r>
            <w:r>
              <w:rPr>
                <w:noProof/>
                <w:webHidden/>
              </w:rPr>
              <w:t>1</w:t>
            </w:r>
            <w:r>
              <w:rPr>
                <w:noProof/>
                <w:webHidden/>
              </w:rPr>
              <w:fldChar w:fldCharType="end"/>
            </w:r>
          </w:hyperlink>
        </w:p>
        <w:p w14:paraId="0145B6F0" w14:textId="39FE064F" w:rsidR="009C78FE" w:rsidRDefault="009C78FE">
          <w:pPr>
            <w:pStyle w:val="TOC2"/>
            <w:rPr>
              <w:rFonts w:asciiTheme="minorHAnsi" w:eastAsiaTheme="minorEastAsia" w:hAnsiTheme="minorHAnsi" w:cstheme="minorBidi"/>
              <w:noProof/>
              <w:sz w:val="24"/>
              <w:szCs w:val="24"/>
            </w:rPr>
          </w:pPr>
          <w:hyperlink w:anchor="_Toc156044299" w:history="1">
            <w:r w:rsidRPr="005162D8">
              <w:rPr>
                <w:rStyle w:val="Hyperlink"/>
                <w:noProof/>
              </w:rPr>
              <w:t>History of the Guideline</w:t>
            </w:r>
            <w:r>
              <w:rPr>
                <w:noProof/>
                <w:webHidden/>
              </w:rPr>
              <w:tab/>
            </w:r>
            <w:r>
              <w:rPr>
                <w:noProof/>
                <w:webHidden/>
              </w:rPr>
              <w:fldChar w:fldCharType="begin"/>
            </w:r>
            <w:r>
              <w:rPr>
                <w:noProof/>
                <w:webHidden/>
              </w:rPr>
              <w:instrText xml:space="preserve"> PAGEREF _Toc156044299 \h </w:instrText>
            </w:r>
            <w:r>
              <w:rPr>
                <w:noProof/>
                <w:webHidden/>
              </w:rPr>
            </w:r>
            <w:r>
              <w:rPr>
                <w:noProof/>
                <w:webHidden/>
              </w:rPr>
              <w:fldChar w:fldCharType="separate"/>
            </w:r>
            <w:r>
              <w:rPr>
                <w:noProof/>
                <w:webHidden/>
              </w:rPr>
              <w:t>2</w:t>
            </w:r>
            <w:r>
              <w:rPr>
                <w:noProof/>
                <w:webHidden/>
              </w:rPr>
              <w:fldChar w:fldCharType="end"/>
            </w:r>
          </w:hyperlink>
        </w:p>
        <w:p w14:paraId="6A87BA5A" w14:textId="5E2CFBE3" w:rsidR="009C78FE" w:rsidRDefault="009C78FE">
          <w:pPr>
            <w:pStyle w:val="TOC2"/>
            <w:rPr>
              <w:rFonts w:asciiTheme="minorHAnsi" w:eastAsiaTheme="minorEastAsia" w:hAnsiTheme="minorHAnsi" w:cstheme="minorBidi"/>
              <w:noProof/>
              <w:sz w:val="24"/>
              <w:szCs w:val="24"/>
            </w:rPr>
          </w:pPr>
          <w:hyperlink w:anchor="_Toc156044300" w:history="1">
            <w:r w:rsidRPr="005162D8">
              <w:rPr>
                <w:rStyle w:val="Hyperlink"/>
                <w:noProof/>
              </w:rPr>
              <w:t>Structure of the PATHA Guideline</w:t>
            </w:r>
            <w:r>
              <w:rPr>
                <w:noProof/>
                <w:webHidden/>
              </w:rPr>
              <w:tab/>
            </w:r>
            <w:r>
              <w:rPr>
                <w:noProof/>
                <w:webHidden/>
              </w:rPr>
              <w:fldChar w:fldCharType="begin"/>
            </w:r>
            <w:r>
              <w:rPr>
                <w:noProof/>
                <w:webHidden/>
              </w:rPr>
              <w:instrText xml:space="preserve"> PAGEREF _Toc156044300 \h </w:instrText>
            </w:r>
            <w:r>
              <w:rPr>
                <w:noProof/>
                <w:webHidden/>
              </w:rPr>
            </w:r>
            <w:r>
              <w:rPr>
                <w:noProof/>
                <w:webHidden/>
              </w:rPr>
              <w:fldChar w:fldCharType="separate"/>
            </w:r>
            <w:r>
              <w:rPr>
                <w:noProof/>
                <w:webHidden/>
              </w:rPr>
              <w:t>4</w:t>
            </w:r>
            <w:r>
              <w:rPr>
                <w:noProof/>
                <w:webHidden/>
              </w:rPr>
              <w:fldChar w:fldCharType="end"/>
            </w:r>
          </w:hyperlink>
        </w:p>
        <w:p w14:paraId="7404EC21" w14:textId="55D7ED98" w:rsidR="009C78FE" w:rsidRDefault="009C78FE">
          <w:pPr>
            <w:pStyle w:val="TOC2"/>
            <w:rPr>
              <w:rFonts w:asciiTheme="minorHAnsi" w:eastAsiaTheme="minorEastAsia" w:hAnsiTheme="minorHAnsi" w:cstheme="minorBidi"/>
              <w:noProof/>
              <w:sz w:val="24"/>
              <w:szCs w:val="24"/>
            </w:rPr>
          </w:pPr>
          <w:hyperlink w:anchor="_Toc156044301" w:history="1">
            <w:r w:rsidRPr="005162D8">
              <w:rPr>
                <w:rStyle w:val="Hyperlink"/>
                <w:noProof/>
              </w:rPr>
              <w:t>Medical Guidelines in New Zealand</w:t>
            </w:r>
            <w:r>
              <w:rPr>
                <w:noProof/>
                <w:webHidden/>
              </w:rPr>
              <w:tab/>
            </w:r>
            <w:r>
              <w:rPr>
                <w:noProof/>
                <w:webHidden/>
              </w:rPr>
              <w:fldChar w:fldCharType="begin"/>
            </w:r>
            <w:r>
              <w:rPr>
                <w:noProof/>
                <w:webHidden/>
              </w:rPr>
              <w:instrText xml:space="preserve"> PAGEREF _Toc156044301 \h </w:instrText>
            </w:r>
            <w:r>
              <w:rPr>
                <w:noProof/>
                <w:webHidden/>
              </w:rPr>
            </w:r>
            <w:r>
              <w:rPr>
                <w:noProof/>
                <w:webHidden/>
              </w:rPr>
              <w:fldChar w:fldCharType="separate"/>
            </w:r>
            <w:r>
              <w:rPr>
                <w:noProof/>
                <w:webHidden/>
              </w:rPr>
              <w:t>4</w:t>
            </w:r>
            <w:r>
              <w:rPr>
                <w:noProof/>
                <w:webHidden/>
              </w:rPr>
              <w:fldChar w:fldCharType="end"/>
            </w:r>
          </w:hyperlink>
        </w:p>
        <w:p w14:paraId="7BE3A6B2" w14:textId="541C21D4" w:rsidR="009C78FE" w:rsidRDefault="009C78FE">
          <w:pPr>
            <w:pStyle w:val="TOC2"/>
            <w:rPr>
              <w:rFonts w:asciiTheme="minorHAnsi" w:eastAsiaTheme="minorEastAsia" w:hAnsiTheme="minorHAnsi" w:cstheme="minorBidi"/>
              <w:noProof/>
              <w:sz w:val="24"/>
              <w:szCs w:val="24"/>
            </w:rPr>
          </w:pPr>
          <w:hyperlink w:anchor="_Toc156044302" w:history="1">
            <w:r w:rsidRPr="005162D8">
              <w:rPr>
                <w:rStyle w:val="Hyperlink"/>
                <w:noProof/>
              </w:rPr>
              <w:t>Assessing PATHA’s Guideline for compliance with Clinical Practice Guideline standards</w:t>
            </w:r>
            <w:r>
              <w:rPr>
                <w:noProof/>
                <w:webHidden/>
              </w:rPr>
              <w:tab/>
            </w:r>
            <w:r>
              <w:rPr>
                <w:noProof/>
                <w:webHidden/>
              </w:rPr>
              <w:fldChar w:fldCharType="begin"/>
            </w:r>
            <w:r>
              <w:rPr>
                <w:noProof/>
                <w:webHidden/>
              </w:rPr>
              <w:instrText xml:space="preserve"> PAGEREF _Toc156044302 \h </w:instrText>
            </w:r>
            <w:r>
              <w:rPr>
                <w:noProof/>
                <w:webHidden/>
              </w:rPr>
            </w:r>
            <w:r>
              <w:rPr>
                <w:noProof/>
                <w:webHidden/>
              </w:rPr>
              <w:fldChar w:fldCharType="separate"/>
            </w:r>
            <w:r>
              <w:rPr>
                <w:noProof/>
                <w:webHidden/>
              </w:rPr>
              <w:t>5</w:t>
            </w:r>
            <w:r>
              <w:rPr>
                <w:noProof/>
                <w:webHidden/>
              </w:rPr>
              <w:fldChar w:fldCharType="end"/>
            </w:r>
          </w:hyperlink>
        </w:p>
        <w:p w14:paraId="677EEC7A" w14:textId="7B93D2A3" w:rsidR="009C78FE" w:rsidRDefault="009C78FE">
          <w:pPr>
            <w:pStyle w:val="TOC2"/>
            <w:rPr>
              <w:rFonts w:asciiTheme="minorHAnsi" w:eastAsiaTheme="minorEastAsia" w:hAnsiTheme="minorHAnsi" w:cstheme="minorBidi"/>
              <w:noProof/>
              <w:sz w:val="24"/>
              <w:szCs w:val="24"/>
            </w:rPr>
          </w:pPr>
          <w:hyperlink w:anchor="_Toc156044303" w:history="1">
            <w:r w:rsidRPr="005162D8">
              <w:rPr>
                <w:rStyle w:val="Hyperlink"/>
                <w:noProof/>
              </w:rPr>
              <w:t>Differences between PATHA and SOC 7</w:t>
            </w:r>
            <w:r>
              <w:rPr>
                <w:noProof/>
                <w:webHidden/>
              </w:rPr>
              <w:tab/>
            </w:r>
            <w:r>
              <w:rPr>
                <w:noProof/>
                <w:webHidden/>
              </w:rPr>
              <w:fldChar w:fldCharType="begin"/>
            </w:r>
            <w:r>
              <w:rPr>
                <w:noProof/>
                <w:webHidden/>
              </w:rPr>
              <w:instrText xml:space="preserve"> PAGEREF _Toc156044303 \h </w:instrText>
            </w:r>
            <w:r>
              <w:rPr>
                <w:noProof/>
                <w:webHidden/>
              </w:rPr>
            </w:r>
            <w:r>
              <w:rPr>
                <w:noProof/>
                <w:webHidden/>
              </w:rPr>
              <w:fldChar w:fldCharType="separate"/>
            </w:r>
            <w:r>
              <w:rPr>
                <w:noProof/>
                <w:webHidden/>
              </w:rPr>
              <w:t>8</w:t>
            </w:r>
            <w:r>
              <w:rPr>
                <w:noProof/>
                <w:webHidden/>
              </w:rPr>
              <w:fldChar w:fldCharType="end"/>
            </w:r>
          </w:hyperlink>
        </w:p>
        <w:p w14:paraId="0B43013B" w14:textId="6FDBC0FA" w:rsidR="009C78FE" w:rsidRDefault="009C78FE">
          <w:pPr>
            <w:pStyle w:val="TOC2"/>
            <w:rPr>
              <w:rFonts w:asciiTheme="minorHAnsi" w:eastAsiaTheme="minorEastAsia" w:hAnsiTheme="minorHAnsi" w:cstheme="minorBidi"/>
              <w:noProof/>
              <w:sz w:val="24"/>
              <w:szCs w:val="24"/>
            </w:rPr>
          </w:pPr>
          <w:hyperlink w:anchor="_Toc156044304" w:history="1">
            <w:r w:rsidRPr="005162D8">
              <w:rPr>
                <w:rStyle w:val="Hyperlink"/>
                <w:noProof/>
              </w:rPr>
              <w:t>Assessment of the use of Māori Health frameworks</w:t>
            </w:r>
            <w:r>
              <w:rPr>
                <w:noProof/>
                <w:webHidden/>
              </w:rPr>
              <w:tab/>
            </w:r>
            <w:r>
              <w:rPr>
                <w:noProof/>
                <w:webHidden/>
              </w:rPr>
              <w:fldChar w:fldCharType="begin"/>
            </w:r>
            <w:r>
              <w:rPr>
                <w:noProof/>
                <w:webHidden/>
              </w:rPr>
              <w:instrText xml:space="preserve"> PAGEREF _Toc156044304 \h </w:instrText>
            </w:r>
            <w:r>
              <w:rPr>
                <w:noProof/>
                <w:webHidden/>
              </w:rPr>
            </w:r>
            <w:r>
              <w:rPr>
                <w:noProof/>
                <w:webHidden/>
              </w:rPr>
              <w:fldChar w:fldCharType="separate"/>
            </w:r>
            <w:r>
              <w:rPr>
                <w:noProof/>
                <w:webHidden/>
              </w:rPr>
              <w:t>14</w:t>
            </w:r>
            <w:r>
              <w:rPr>
                <w:noProof/>
                <w:webHidden/>
              </w:rPr>
              <w:fldChar w:fldCharType="end"/>
            </w:r>
          </w:hyperlink>
        </w:p>
        <w:p w14:paraId="2492E00B" w14:textId="73A17B2D" w:rsidR="009C78FE" w:rsidRDefault="009C78FE">
          <w:pPr>
            <w:pStyle w:val="TOC2"/>
            <w:rPr>
              <w:rFonts w:asciiTheme="minorHAnsi" w:eastAsiaTheme="minorEastAsia" w:hAnsiTheme="minorHAnsi" w:cstheme="minorBidi"/>
              <w:noProof/>
              <w:sz w:val="24"/>
              <w:szCs w:val="24"/>
            </w:rPr>
          </w:pPr>
          <w:hyperlink w:anchor="_Toc156044305" w:history="1">
            <w:r w:rsidRPr="005162D8">
              <w:rPr>
                <w:rStyle w:val="Hyperlink"/>
                <w:noProof/>
              </w:rPr>
              <w:t>Are gender identities indigenous to New Zealand?</w:t>
            </w:r>
            <w:r>
              <w:rPr>
                <w:noProof/>
                <w:webHidden/>
              </w:rPr>
              <w:tab/>
            </w:r>
            <w:r>
              <w:rPr>
                <w:noProof/>
                <w:webHidden/>
              </w:rPr>
              <w:fldChar w:fldCharType="begin"/>
            </w:r>
            <w:r>
              <w:rPr>
                <w:noProof/>
                <w:webHidden/>
              </w:rPr>
              <w:instrText xml:space="preserve"> PAGEREF _Toc156044305 \h </w:instrText>
            </w:r>
            <w:r>
              <w:rPr>
                <w:noProof/>
                <w:webHidden/>
              </w:rPr>
            </w:r>
            <w:r>
              <w:rPr>
                <w:noProof/>
                <w:webHidden/>
              </w:rPr>
              <w:fldChar w:fldCharType="separate"/>
            </w:r>
            <w:r>
              <w:rPr>
                <w:noProof/>
                <w:webHidden/>
              </w:rPr>
              <w:t>15</w:t>
            </w:r>
            <w:r>
              <w:rPr>
                <w:noProof/>
                <w:webHidden/>
              </w:rPr>
              <w:fldChar w:fldCharType="end"/>
            </w:r>
          </w:hyperlink>
        </w:p>
        <w:p w14:paraId="31A9D4E6" w14:textId="30CE3CB9" w:rsidR="009C78FE" w:rsidRDefault="009C78FE">
          <w:pPr>
            <w:pStyle w:val="TOC2"/>
            <w:rPr>
              <w:rFonts w:asciiTheme="minorHAnsi" w:eastAsiaTheme="minorEastAsia" w:hAnsiTheme="minorHAnsi" w:cstheme="minorBidi"/>
              <w:noProof/>
              <w:sz w:val="24"/>
              <w:szCs w:val="24"/>
            </w:rPr>
          </w:pPr>
          <w:hyperlink w:anchor="_Toc156044306" w:history="1">
            <w:r w:rsidRPr="005162D8">
              <w:rPr>
                <w:rStyle w:val="Hyperlink"/>
                <w:noProof/>
              </w:rPr>
              <w:t>Discussion and findings</w:t>
            </w:r>
            <w:r>
              <w:rPr>
                <w:noProof/>
                <w:webHidden/>
              </w:rPr>
              <w:tab/>
            </w:r>
            <w:r>
              <w:rPr>
                <w:noProof/>
                <w:webHidden/>
              </w:rPr>
              <w:fldChar w:fldCharType="begin"/>
            </w:r>
            <w:r>
              <w:rPr>
                <w:noProof/>
                <w:webHidden/>
              </w:rPr>
              <w:instrText xml:space="preserve"> PAGEREF _Toc156044306 \h </w:instrText>
            </w:r>
            <w:r>
              <w:rPr>
                <w:noProof/>
                <w:webHidden/>
              </w:rPr>
            </w:r>
            <w:r>
              <w:rPr>
                <w:noProof/>
                <w:webHidden/>
              </w:rPr>
              <w:fldChar w:fldCharType="separate"/>
            </w:r>
            <w:r>
              <w:rPr>
                <w:noProof/>
                <w:webHidden/>
              </w:rPr>
              <w:t>15</w:t>
            </w:r>
            <w:r>
              <w:rPr>
                <w:noProof/>
                <w:webHidden/>
              </w:rPr>
              <w:fldChar w:fldCharType="end"/>
            </w:r>
          </w:hyperlink>
        </w:p>
        <w:p w14:paraId="5B59394B" w14:textId="498004D1" w:rsidR="009C78FE" w:rsidRDefault="009C78FE">
          <w:pPr>
            <w:pStyle w:val="TOC2"/>
            <w:rPr>
              <w:rFonts w:asciiTheme="minorHAnsi" w:eastAsiaTheme="minorEastAsia" w:hAnsiTheme="minorHAnsi" w:cstheme="minorBidi"/>
              <w:noProof/>
              <w:sz w:val="24"/>
              <w:szCs w:val="24"/>
            </w:rPr>
          </w:pPr>
          <w:hyperlink w:anchor="_Toc156044307" w:history="1">
            <w:r w:rsidRPr="005162D8">
              <w:rPr>
                <w:rStyle w:val="Hyperlink"/>
                <w:noProof/>
              </w:rPr>
              <w:t>Author details</w:t>
            </w:r>
            <w:r>
              <w:rPr>
                <w:noProof/>
                <w:webHidden/>
              </w:rPr>
              <w:tab/>
            </w:r>
            <w:r>
              <w:rPr>
                <w:noProof/>
                <w:webHidden/>
              </w:rPr>
              <w:fldChar w:fldCharType="begin"/>
            </w:r>
            <w:r>
              <w:rPr>
                <w:noProof/>
                <w:webHidden/>
              </w:rPr>
              <w:instrText xml:space="preserve"> PAGEREF _Toc156044307 \h </w:instrText>
            </w:r>
            <w:r>
              <w:rPr>
                <w:noProof/>
                <w:webHidden/>
              </w:rPr>
            </w:r>
            <w:r>
              <w:rPr>
                <w:noProof/>
                <w:webHidden/>
              </w:rPr>
              <w:fldChar w:fldCharType="separate"/>
            </w:r>
            <w:r>
              <w:rPr>
                <w:noProof/>
                <w:webHidden/>
              </w:rPr>
              <w:t>17</w:t>
            </w:r>
            <w:r>
              <w:rPr>
                <w:noProof/>
                <w:webHidden/>
              </w:rPr>
              <w:fldChar w:fldCharType="end"/>
            </w:r>
          </w:hyperlink>
        </w:p>
        <w:p w14:paraId="08F7E5DD" w14:textId="6A02353F" w:rsidR="009C78FE" w:rsidRDefault="009C78FE">
          <w:pPr>
            <w:pStyle w:val="TOC2"/>
            <w:rPr>
              <w:rFonts w:asciiTheme="minorHAnsi" w:eastAsiaTheme="minorEastAsia" w:hAnsiTheme="minorHAnsi" w:cstheme="minorBidi"/>
              <w:noProof/>
              <w:sz w:val="24"/>
              <w:szCs w:val="24"/>
            </w:rPr>
          </w:pPr>
          <w:hyperlink w:anchor="_Toc156044308" w:history="1">
            <w:r w:rsidRPr="005162D8">
              <w:rPr>
                <w:rStyle w:val="Hyperlink"/>
                <w:noProof/>
                <w:lang w:val="mi-NZ"/>
              </w:rPr>
              <w:t>References</w:t>
            </w:r>
            <w:r>
              <w:rPr>
                <w:noProof/>
                <w:webHidden/>
              </w:rPr>
              <w:tab/>
            </w:r>
            <w:r>
              <w:rPr>
                <w:noProof/>
                <w:webHidden/>
              </w:rPr>
              <w:fldChar w:fldCharType="begin"/>
            </w:r>
            <w:r>
              <w:rPr>
                <w:noProof/>
                <w:webHidden/>
              </w:rPr>
              <w:instrText xml:space="preserve"> PAGEREF _Toc156044308 \h </w:instrText>
            </w:r>
            <w:r>
              <w:rPr>
                <w:noProof/>
                <w:webHidden/>
              </w:rPr>
            </w:r>
            <w:r>
              <w:rPr>
                <w:noProof/>
                <w:webHidden/>
              </w:rPr>
              <w:fldChar w:fldCharType="separate"/>
            </w:r>
            <w:r>
              <w:rPr>
                <w:noProof/>
                <w:webHidden/>
              </w:rPr>
              <w:t>17</w:t>
            </w:r>
            <w:r>
              <w:rPr>
                <w:noProof/>
                <w:webHidden/>
              </w:rPr>
              <w:fldChar w:fldCharType="end"/>
            </w:r>
          </w:hyperlink>
        </w:p>
        <w:p w14:paraId="293A0D2D" w14:textId="3E8CD075" w:rsidR="009C78FE" w:rsidRDefault="009C78FE">
          <w:pPr>
            <w:pStyle w:val="TOC2"/>
            <w:rPr>
              <w:rFonts w:asciiTheme="minorHAnsi" w:eastAsiaTheme="minorEastAsia" w:hAnsiTheme="minorHAnsi" w:cstheme="minorBidi"/>
              <w:noProof/>
              <w:sz w:val="24"/>
              <w:szCs w:val="24"/>
            </w:rPr>
          </w:pPr>
          <w:hyperlink w:anchor="_Toc156044309" w:history="1">
            <w:r w:rsidRPr="005162D8">
              <w:rPr>
                <w:rStyle w:val="Hyperlink"/>
                <w:noProof/>
                <w:lang w:val="mi-NZ"/>
              </w:rPr>
              <w:t>Appendix I The structure of the PATHA Guideline</w:t>
            </w:r>
            <w:r>
              <w:rPr>
                <w:noProof/>
                <w:webHidden/>
              </w:rPr>
              <w:tab/>
            </w:r>
            <w:r>
              <w:rPr>
                <w:noProof/>
                <w:webHidden/>
              </w:rPr>
              <w:fldChar w:fldCharType="begin"/>
            </w:r>
            <w:r>
              <w:rPr>
                <w:noProof/>
                <w:webHidden/>
              </w:rPr>
              <w:instrText xml:space="preserve"> PAGEREF _Toc156044309 \h </w:instrText>
            </w:r>
            <w:r>
              <w:rPr>
                <w:noProof/>
                <w:webHidden/>
              </w:rPr>
            </w:r>
            <w:r>
              <w:rPr>
                <w:noProof/>
                <w:webHidden/>
              </w:rPr>
              <w:fldChar w:fldCharType="separate"/>
            </w:r>
            <w:r>
              <w:rPr>
                <w:noProof/>
                <w:webHidden/>
              </w:rPr>
              <w:t>21</w:t>
            </w:r>
            <w:r>
              <w:rPr>
                <w:noProof/>
                <w:webHidden/>
              </w:rPr>
              <w:fldChar w:fldCharType="end"/>
            </w:r>
          </w:hyperlink>
        </w:p>
        <w:p w14:paraId="33185289" w14:textId="05B6E473" w:rsidR="009C78FE" w:rsidRDefault="009C78FE">
          <w:pPr>
            <w:pStyle w:val="TOC2"/>
            <w:rPr>
              <w:rFonts w:asciiTheme="minorHAnsi" w:eastAsiaTheme="minorEastAsia" w:hAnsiTheme="minorHAnsi" w:cstheme="minorBidi"/>
              <w:noProof/>
              <w:sz w:val="24"/>
              <w:szCs w:val="24"/>
            </w:rPr>
          </w:pPr>
          <w:hyperlink w:anchor="_Toc156044310" w:history="1">
            <w:r w:rsidRPr="005162D8">
              <w:rPr>
                <w:rStyle w:val="Hyperlink"/>
                <w:noProof/>
                <w:lang w:val="mi-NZ"/>
              </w:rPr>
              <w:t>Appendix II Criteria for assessing the PATHA Guideline</w:t>
            </w:r>
            <w:r>
              <w:rPr>
                <w:noProof/>
                <w:webHidden/>
              </w:rPr>
              <w:tab/>
            </w:r>
            <w:r>
              <w:rPr>
                <w:noProof/>
                <w:webHidden/>
              </w:rPr>
              <w:fldChar w:fldCharType="begin"/>
            </w:r>
            <w:r>
              <w:rPr>
                <w:noProof/>
                <w:webHidden/>
              </w:rPr>
              <w:instrText xml:space="preserve"> PAGEREF _Toc156044310 \h </w:instrText>
            </w:r>
            <w:r>
              <w:rPr>
                <w:noProof/>
                <w:webHidden/>
              </w:rPr>
            </w:r>
            <w:r>
              <w:rPr>
                <w:noProof/>
                <w:webHidden/>
              </w:rPr>
              <w:fldChar w:fldCharType="separate"/>
            </w:r>
            <w:r>
              <w:rPr>
                <w:noProof/>
                <w:webHidden/>
              </w:rPr>
              <w:t>23</w:t>
            </w:r>
            <w:r>
              <w:rPr>
                <w:noProof/>
                <w:webHidden/>
              </w:rPr>
              <w:fldChar w:fldCharType="end"/>
            </w:r>
          </w:hyperlink>
        </w:p>
        <w:p w14:paraId="0F97CEB3" w14:textId="47232DC8" w:rsidR="00B26FBA" w:rsidRDefault="00B26FBA">
          <w:r>
            <w:rPr>
              <w:b/>
              <w:bCs/>
              <w:noProof/>
            </w:rPr>
            <w:fldChar w:fldCharType="end"/>
          </w:r>
        </w:p>
      </w:sdtContent>
    </w:sdt>
    <w:p w14:paraId="6B96FA6B" w14:textId="210E9459" w:rsidR="000B431A" w:rsidRDefault="000B431A" w:rsidP="00885484">
      <w:pPr>
        <w:pStyle w:val="Heading2"/>
      </w:pPr>
      <w:bookmarkStart w:id="11" w:name="_Toc145238118"/>
      <w:bookmarkStart w:id="12" w:name="_Toc156044298"/>
      <w:r>
        <w:t>Abstract</w:t>
      </w:r>
      <w:bookmarkEnd w:id="9"/>
      <w:bookmarkEnd w:id="11"/>
      <w:bookmarkEnd w:id="12"/>
    </w:p>
    <w:p w14:paraId="6AFF571B" w14:textId="762979A8" w:rsidR="00CC2D89" w:rsidRDefault="00F20194" w:rsidP="00885484">
      <w:pPr>
        <w:rPr>
          <w:lang w:val="mi-NZ"/>
        </w:rPr>
      </w:pPr>
      <w:r>
        <w:t>T</w:t>
      </w:r>
      <w:r w:rsidR="000B431A">
        <w:t xml:space="preserve">his paper </w:t>
      </w:r>
      <w:r>
        <w:t>is a case study</w:t>
      </w:r>
      <w:r w:rsidR="000B431A">
        <w:t xml:space="preserve"> </w:t>
      </w:r>
      <w:r w:rsidR="00892829">
        <w:t>examination</w:t>
      </w:r>
      <w:r w:rsidR="000B431A">
        <w:t xml:space="preserve"> </w:t>
      </w:r>
      <w:r w:rsidR="00E76E95">
        <w:t>of</w:t>
      </w:r>
      <w:r w:rsidR="00892829">
        <w:t xml:space="preserve"> </w:t>
      </w:r>
      <w:r w:rsidR="000B431A">
        <w:t xml:space="preserve">the 2018 document </w:t>
      </w:r>
      <w:r w:rsidR="000B431A" w:rsidRPr="006E4599">
        <w:rPr>
          <w:i/>
          <w:iCs/>
        </w:rPr>
        <w:t>Guidelines for gender affirming healthcare for gender diverse and transgender children, young people and adults in Aotearoa, New Zealand</w:t>
      </w:r>
      <w:r w:rsidR="000B431A">
        <w:t xml:space="preserve"> (Oliphant et al., 2018) referred to below as the PATHA Guideline</w:t>
      </w:r>
      <w:r w:rsidR="0074591A">
        <w:t xml:space="preserve"> and claimed as the work of the </w:t>
      </w:r>
      <w:r w:rsidR="0074591A">
        <w:rPr>
          <w:lang w:val="mi-NZ"/>
        </w:rPr>
        <w:t>Professional Association for Transgender Health Aotearoa (PATHA</w:t>
      </w:r>
      <w:r w:rsidR="000B431A">
        <w:t xml:space="preserve">). </w:t>
      </w:r>
    </w:p>
    <w:p w14:paraId="0DD13A85" w14:textId="4B6543FC" w:rsidR="00CB2407" w:rsidRDefault="0043504E" w:rsidP="00885484">
      <w:pPr>
        <w:rPr>
          <w:lang w:val="mi-NZ"/>
        </w:rPr>
      </w:pPr>
      <w:r>
        <w:rPr>
          <w:lang w:val="mi-NZ"/>
        </w:rPr>
        <w:t>T</w:t>
      </w:r>
      <w:r w:rsidR="009F75CD">
        <w:rPr>
          <w:lang w:val="mi-NZ"/>
        </w:rPr>
        <w:t>he PATHA Guideline’s origins</w:t>
      </w:r>
      <w:r w:rsidR="009B70BE">
        <w:rPr>
          <w:lang w:val="mi-NZ"/>
        </w:rPr>
        <w:t xml:space="preserve"> and </w:t>
      </w:r>
      <w:r w:rsidR="009F75CD">
        <w:rPr>
          <w:lang w:val="mi-NZ"/>
        </w:rPr>
        <w:t>its main elements</w:t>
      </w:r>
      <w:r w:rsidR="009E2AFF">
        <w:rPr>
          <w:lang w:val="mi-NZ"/>
        </w:rPr>
        <w:t xml:space="preserve"> are described</w:t>
      </w:r>
      <w:r w:rsidR="009B70BE">
        <w:rPr>
          <w:lang w:val="mi-NZ"/>
        </w:rPr>
        <w:t xml:space="preserve">. </w:t>
      </w:r>
      <w:r w:rsidR="00B009DA">
        <w:rPr>
          <w:lang w:val="mi-NZ"/>
        </w:rPr>
        <w:t>The</w:t>
      </w:r>
      <w:r w:rsidR="009F75CD">
        <w:rPr>
          <w:lang w:val="mi-NZ"/>
        </w:rPr>
        <w:t xml:space="preserve"> standards for </w:t>
      </w:r>
      <w:r w:rsidR="0035202A">
        <w:rPr>
          <w:lang w:val="mi-NZ"/>
        </w:rPr>
        <w:t xml:space="preserve">creating </w:t>
      </w:r>
      <w:r w:rsidR="009F75CD">
        <w:rPr>
          <w:lang w:val="mi-NZ"/>
        </w:rPr>
        <w:t xml:space="preserve">clinical practice guidelines </w:t>
      </w:r>
      <w:r w:rsidR="00897255">
        <w:rPr>
          <w:lang w:val="mi-NZ"/>
        </w:rPr>
        <w:t>are</w:t>
      </w:r>
      <w:r w:rsidR="009F75CD">
        <w:rPr>
          <w:lang w:val="mi-NZ"/>
        </w:rPr>
        <w:t xml:space="preserve"> </w:t>
      </w:r>
      <w:r w:rsidR="00897255">
        <w:rPr>
          <w:lang w:val="mi-NZ"/>
        </w:rPr>
        <w:t>examined and</w:t>
      </w:r>
      <w:r w:rsidR="009F75CD">
        <w:rPr>
          <w:lang w:val="mi-NZ"/>
        </w:rPr>
        <w:t xml:space="preserve"> </w:t>
      </w:r>
      <w:r w:rsidR="009F75CD">
        <w:rPr>
          <w:color w:val="000000"/>
        </w:rPr>
        <w:t>the approach taken</w:t>
      </w:r>
      <w:r w:rsidR="00007EA0">
        <w:rPr>
          <w:color w:val="000000"/>
        </w:rPr>
        <w:t xml:space="preserve"> in New Zealand and </w:t>
      </w:r>
      <w:r w:rsidR="009F75CD">
        <w:rPr>
          <w:color w:val="000000"/>
        </w:rPr>
        <w:t xml:space="preserve">by three international clinical practice guideline creation </w:t>
      </w:r>
      <w:r w:rsidR="00007EA0">
        <w:rPr>
          <w:color w:val="000000"/>
        </w:rPr>
        <w:t>too</w:t>
      </w:r>
      <w:r w:rsidR="009F75CD">
        <w:rPr>
          <w:color w:val="000000"/>
        </w:rPr>
        <w:t>ls</w:t>
      </w:r>
      <w:r w:rsidR="00897255">
        <w:rPr>
          <w:color w:val="000000"/>
        </w:rPr>
        <w:t xml:space="preserve"> are outlined</w:t>
      </w:r>
      <w:r w:rsidR="009F75CD">
        <w:rPr>
          <w:color w:val="000000"/>
        </w:rPr>
        <w:t>.</w:t>
      </w:r>
      <w:r w:rsidR="000B431A">
        <w:t xml:space="preserve"> </w:t>
      </w:r>
      <w:r w:rsidR="00CB2407">
        <w:rPr>
          <w:lang w:val="mi-NZ"/>
        </w:rPr>
        <w:t xml:space="preserve">The PATHA Guideline is </w:t>
      </w:r>
      <w:r w:rsidR="00686EA3">
        <w:rPr>
          <w:lang w:val="mi-NZ"/>
        </w:rPr>
        <w:t xml:space="preserve">then </w:t>
      </w:r>
      <w:r w:rsidR="00CB2407">
        <w:rPr>
          <w:lang w:val="mi-NZ"/>
        </w:rPr>
        <w:t>examined against the following criteria.</w:t>
      </w:r>
    </w:p>
    <w:p w14:paraId="2EBECB3F" w14:textId="3C2A9939" w:rsidR="00CB2407" w:rsidRPr="004E2AED" w:rsidRDefault="00CB2407" w:rsidP="006D64E1">
      <w:pPr>
        <w:pStyle w:val="ListParagraph"/>
        <w:numPr>
          <w:ilvl w:val="0"/>
          <w:numId w:val="19"/>
        </w:numPr>
      </w:pPr>
      <w:r w:rsidRPr="004E2AED">
        <w:t>Whether the PATHA Guideline complies with the standards set by the internationally recognised clinical pratice guidelines development tools</w:t>
      </w:r>
      <w:r w:rsidR="00D93B21" w:rsidRPr="004E2AED">
        <w:t>.</w:t>
      </w:r>
    </w:p>
    <w:p w14:paraId="6887FBF0" w14:textId="003F9B72" w:rsidR="00CB2407" w:rsidRPr="004E2AED" w:rsidRDefault="00CB2407" w:rsidP="006D64E1">
      <w:pPr>
        <w:pStyle w:val="ListParagraph"/>
        <w:numPr>
          <w:ilvl w:val="0"/>
          <w:numId w:val="19"/>
        </w:numPr>
      </w:pPr>
      <w:r w:rsidRPr="004E2AED">
        <w:t xml:space="preserve">Whether the PATHA Guideline </w:t>
      </w:r>
      <w:r w:rsidR="00DE3461" w:rsidRPr="004E2AED">
        <w:t>follows</w:t>
      </w:r>
      <w:r w:rsidRPr="004E2AED">
        <w:t xml:space="preserve"> the recommendations in the World Professional Association of Transgender Health 2012 Standards of Care 7 (WPATH SOC 7)</w:t>
      </w:r>
      <w:r w:rsidRPr="004E2AED">
        <w:fldChar w:fldCharType="begin"/>
      </w:r>
      <w:r w:rsidRPr="004E2AED">
        <w:instrText xml:space="preserve"> ADDIN ZOTERO_ITEM CSL_CITATION {"citationID":"JcFDKkgC","properties":{"formattedCitation":"(WPATH, 2012)","plainCitation":"(WPATH, 2012)","noteIndex":0},"citationItems":[{"id":11758,"uris":["http://zotero.org/groups/4882545/items/AJV594JU"],"itemData":{"id":11758,"type":"report","abstract":"7th Version1 | www.wpath.org\n1 This is the seventh version of the Standards of Care. The original SOC were published in 1979. Previous revisions were in 1980, 1981, 1990, 1998, and 2001.","title":"Standards of Care for the Health of Transsexual, Transgender, and Gender Nonconforming People","URL":"https://www.wpath.org/media/cms/Documents/SOC%20v7/SOC%20V7_English.pdf","author":[{"family":"WPATH","given":""}],"accessed":{"date-parts":[["2023",7,19]]},"issued":{"date-parts":[["2012"]]}}}],"schema":"https://github.com/citation-style-language/schema/raw/master/csl-citation.json"} </w:instrText>
      </w:r>
      <w:r w:rsidRPr="004E2AED">
        <w:fldChar w:fldCharType="separate"/>
      </w:r>
      <w:r w:rsidRPr="004E2AED">
        <w:rPr>
          <w:rFonts w:ascii="Calibri" w:hAnsi="Calibri" w:cs="Calibri"/>
        </w:rPr>
        <w:t>(WPATH, 2012)</w:t>
      </w:r>
      <w:r w:rsidRPr="004E2AED">
        <w:fldChar w:fldCharType="end"/>
      </w:r>
      <w:r w:rsidRPr="004E2AED">
        <w:t xml:space="preserve"> and the </w:t>
      </w:r>
      <w:r w:rsidR="005F1A32" w:rsidRPr="004E2AED">
        <w:t>evidence supplied where it differs</w:t>
      </w:r>
      <w:r w:rsidRPr="004E2AED">
        <w:t xml:space="preserve">. </w:t>
      </w:r>
    </w:p>
    <w:p w14:paraId="43D90E0A" w14:textId="56A29FC0" w:rsidR="00CB2407" w:rsidRPr="004E2AED" w:rsidRDefault="00CB2407" w:rsidP="006D64E1">
      <w:pPr>
        <w:pStyle w:val="ListParagraph"/>
        <w:numPr>
          <w:ilvl w:val="0"/>
          <w:numId w:val="19"/>
        </w:numPr>
      </w:pPr>
      <w:r w:rsidRPr="004E2AED">
        <w:t>Whether the use of two different  Māori health frameworks to guide the PATHA Guideline helps or hinders the Guideline’s purpose</w:t>
      </w:r>
      <w:r w:rsidR="001B3C17" w:rsidRPr="004E2AED">
        <w:t>.</w:t>
      </w:r>
    </w:p>
    <w:bookmarkEnd w:id="10"/>
    <w:p w14:paraId="78FC6607" w14:textId="607A63A9" w:rsidR="00CB2407" w:rsidRPr="004E2AED" w:rsidRDefault="00CB2407" w:rsidP="006D64E1">
      <w:pPr>
        <w:pStyle w:val="ListParagraph"/>
        <w:numPr>
          <w:ilvl w:val="0"/>
          <w:numId w:val="19"/>
        </w:numPr>
      </w:pPr>
      <w:r w:rsidRPr="004E2AED">
        <w:t>Whether the kaupapa Māori framing of transgender identities is appropriate</w:t>
      </w:r>
      <w:r w:rsidR="001B3C17" w:rsidRPr="004E2AED">
        <w:t>.</w:t>
      </w:r>
    </w:p>
    <w:p w14:paraId="084B15F3" w14:textId="279B39E3" w:rsidR="00205B44" w:rsidRDefault="005E13FB" w:rsidP="00885484">
      <w:pPr>
        <w:rPr>
          <w:lang w:val="mi-NZ"/>
        </w:rPr>
      </w:pPr>
      <w:r>
        <w:rPr>
          <w:lang w:val="mi-NZ"/>
        </w:rPr>
        <w:t xml:space="preserve">The </w:t>
      </w:r>
      <w:r w:rsidR="00686073">
        <w:rPr>
          <w:lang w:val="mi-NZ"/>
        </w:rPr>
        <w:t xml:space="preserve">broader </w:t>
      </w:r>
      <w:r>
        <w:rPr>
          <w:lang w:val="mi-NZ"/>
        </w:rPr>
        <w:t>context for th</w:t>
      </w:r>
      <w:r w:rsidR="001A66D3">
        <w:rPr>
          <w:lang w:val="mi-NZ"/>
        </w:rPr>
        <w:t>is</w:t>
      </w:r>
      <w:r>
        <w:rPr>
          <w:lang w:val="mi-NZ"/>
        </w:rPr>
        <w:t xml:space="preserve"> </w:t>
      </w:r>
      <w:r w:rsidR="00E631FC">
        <w:rPr>
          <w:lang w:val="mi-NZ"/>
        </w:rPr>
        <w:t xml:space="preserve">review </w:t>
      </w:r>
      <w:r w:rsidR="007B2A53">
        <w:rPr>
          <w:lang w:val="mi-NZ"/>
        </w:rPr>
        <w:t>is</w:t>
      </w:r>
      <w:r w:rsidR="00E631FC">
        <w:rPr>
          <w:lang w:val="mi-NZ"/>
        </w:rPr>
        <w:t xml:space="preserve"> the </w:t>
      </w:r>
      <w:r w:rsidR="00E7121E">
        <w:rPr>
          <w:lang w:val="mi-NZ"/>
        </w:rPr>
        <w:t xml:space="preserve">recent </w:t>
      </w:r>
      <w:r w:rsidR="00143BA1">
        <w:rPr>
          <w:lang w:val="mi-NZ"/>
        </w:rPr>
        <w:t>policy and treatment</w:t>
      </w:r>
      <w:r w:rsidR="00E7121E">
        <w:rPr>
          <w:lang w:val="mi-NZ"/>
        </w:rPr>
        <w:t xml:space="preserve"> </w:t>
      </w:r>
      <w:r w:rsidR="00E631FC">
        <w:rPr>
          <w:lang w:val="mi-NZ"/>
        </w:rPr>
        <w:t xml:space="preserve">reversals </w:t>
      </w:r>
      <w:r w:rsidR="00BE0989">
        <w:rPr>
          <w:lang w:val="mi-NZ"/>
        </w:rPr>
        <w:t xml:space="preserve">in </w:t>
      </w:r>
      <w:r w:rsidR="001A12C3">
        <w:rPr>
          <w:lang w:val="mi-NZ"/>
        </w:rPr>
        <w:t xml:space="preserve">gender medicine </w:t>
      </w:r>
      <w:r w:rsidR="00E631FC">
        <w:rPr>
          <w:lang w:val="mi-NZ"/>
        </w:rPr>
        <w:t>policies in other jurisdictions</w:t>
      </w:r>
      <w:r w:rsidR="006F3232">
        <w:rPr>
          <w:lang w:val="mi-NZ"/>
        </w:rPr>
        <w:t>,</w:t>
      </w:r>
      <w:r w:rsidR="000429D1">
        <w:rPr>
          <w:lang w:val="mi-NZ"/>
        </w:rPr>
        <w:t xml:space="preserve"> as </w:t>
      </w:r>
      <w:r w:rsidR="00BE0989">
        <w:rPr>
          <w:lang w:val="mi-NZ"/>
        </w:rPr>
        <w:t xml:space="preserve">well as the </w:t>
      </w:r>
      <w:r w:rsidR="001A12C3">
        <w:rPr>
          <w:lang w:val="mi-NZ"/>
        </w:rPr>
        <w:t xml:space="preserve">national level </w:t>
      </w:r>
      <w:r w:rsidR="000429D1">
        <w:rPr>
          <w:lang w:val="mi-NZ"/>
        </w:rPr>
        <w:t>evidence</w:t>
      </w:r>
      <w:r w:rsidR="00074465">
        <w:rPr>
          <w:lang w:val="mi-NZ"/>
        </w:rPr>
        <w:t>-</w:t>
      </w:r>
      <w:r w:rsidR="000429D1">
        <w:rPr>
          <w:lang w:val="mi-NZ"/>
        </w:rPr>
        <w:t>based reviews</w:t>
      </w:r>
      <w:r w:rsidR="006F3232">
        <w:rPr>
          <w:lang w:val="mi-NZ"/>
        </w:rPr>
        <w:t>,</w:t>
      </w:r>
      <w:r w:rsidR="000429D1">
        <w:rPr>
          <w:lang w:val="mi-NZ"/>
        </w:rPr>
        <w:t xml:space="preserve"> </w:t>
      </w:r>
      <w:r w:rsidR="00BE0989">
        <w:rPr>
          <w:lang w:val="mi-NZ"/>
        </w:rPr>
        <w:t xml:space="preserve">which have </w:t>
      </w:r>
      <w:r w:rsidR="00AF41C4">
        <w:rPr>
          <w:lang w:val="mi-NZ"/>
        </w:rPr>
        <w:t>often brought about th</w:t>
      </w:r>
      <w:r w:rsidR="00220DA2">
        <w:rPr>
          <w:lang w:val="mi-NZ"/>
        </w:rPr>
        <w:t>ose</w:t>
      </w:r>
      <w:r w:rsidR="00AF41C4">
        <w:rPr>
          <w:lang w:val="mi-NZ"/>
        </w:rPr>
        <w:t xml:space="preserve"> changes</w:t>
      </w:r>
      <w:r w:rsidR="006E580F">
        <w:rPr>
          <w:lang w:val="mi-NZ"/>
        </w:rPr>
        <w:t>.</w:t>
      </w:r>
      <w:r w:rsidR="000429D1">
        <w:rPr>
          <w:lang w:val="mi-NZ"/>
        </w:rPr>
        <w:t xml:space="preserve"> </w:t>
      </w:r>
      <w:r w:rsidR="002C10BF">
        <w:rPr>
          <w:lang w:val="mi-NZ"/>
        </w:rPr>
        <w:t xml:space="preserve">At the same time </w:t>
      </w:r>
      <w:r w:rsidR="00C41410">
        <w:rPr>
          <w:lang w:val="mi-NZ"/>
        </w:rPr>
        <w:t>the</w:t>
      </w:r>
      <w:r w:rsidR="000429D1">
        <w:rPr>
          <w:lang w:val="mi-NZ"/>
        </w:rPr>
        <w:t xml:space="preserve"> literature of the affirmative gender medicine movement</w:t>
      </w:r>
      <w:r w:rsidR="009C69BF">
        <w:rPr>
          <w:lang w:val="mi-NZ"/>
        </w:rPr>
        <w:t>, includi</w:t>
      </w:r>
      <w:r w:rsidR="005568AE">
        <w:rPr>
          <w:lang w:val="mi-NZ"/>
        </w:rPr>
        <w:t>n</w:t>
      </w:r>
      <w:r w:rsidR="009C69BF">
        <w:rPr>
          <w:lang w:val="mi-NZ"/>
        </w:rPr>
        <w:t xml:space="preserve">g some of the </w:t>
      </w:r>
      <w:r w:rsidR="000429D1">
        <w:rPr>
          <w:lang w:val="mi-NZ"/>
        </w:rPr>
        <w:t xml:space="preserve">professional </w:t>
      </w:r>
      <w:r w:rsidR="00FC7688">
        <w:rPr>
          <w:lang w:val="mi-NZ"/>
        </w:rPr>
        <w:t xml:space="preserve">standards and some of the </w:t>
      </w:r>
      <w:r w:rsidR="009C69BF">
        <w:rPr>
          <w:lang w:val="mi-NZ"/>
        </w:rPr>
        <w:t>core reference documents</w:t>
      </w:r>
      <w:r w:rsidR="007A6D6F">
        <w:rPr>
          <w:lang w:val="mi-NZ"/>
        </w:rPr>
        <w:t>,</w:t>
      </w:r>
      <w:r w:rsidR="004C5654">
        <w:rPr>
          <w:lang w:val="mi-NZ"/>
        </w:rPr>
        <w:t xml:space="preserve"> has </w:t>
      </w:r>
      <w:r w:rsidR="00502FF6">
        <w:rPr>
          <w:lang w:val="mi-NZ"/>
        </w:rPr>
        <w:t>come under increasingly</w:t>
      </w:r>
      <w:r w:rsidR="004C5654">
        <w:rPr>
          <w:lang w:val="mi-NZ"/>
        </w:rPr>
        <w:t xml:space="preserve"> </w:t>
      </w:r>
      <w:r w:rsidR="004C5654">
        <w:rPr>
          <w:lang w:val="mi-NZ"/>
        </w:rPr>
        <w:lastRenderedPageBreak/>
        <w:t xml:space="preserve">critical </w:t>
      </w:r>
      <w:r w:rsidR="00B135DE">
        <w:rPr>
          <w:lang w:val="mi-NZ"/>
        </w:rPr>
        <w:t>analysis</w:t>
      </w:r>
      <w:r w:rsidR="00835C70">
        <w:rPr>
          <w:lang w:val="mi-NZ"/>
        </w:rPr>
        <w:t>. Rejection of</w:t>
      </w:r>
      <w:r w:rsidR="00F413AB">
        <w:rPr>
          <w:lang w:val="mi-NZ"/>
        </w:rPr>
        <w:t xml:space="preserve"> </w:t>
      </w:r>
      <w:r w:rsidR="00C5351D">
        <w:rPr>
          <w:lang w:val="mi-NZ"/>
        </w:rPr>
        <w:t xml:space="preserve">affirmative </w:t>
      </w:r>
      <w:r w:rsidR="00F413AB">
        <w:rPr>
          <w:lang w:val="mi-NZ"/>
        </w:rPr>
        <w:t>approach</w:t>
      </w:r>
      <w:r w:rsidR="00C5351D">
        <w:rPr>
          <w:lang w:val="mi-NZ"/>
        </w:rPr>
        <w:t>es</w:t>
      </w:r>
      <w:r w:rsidR="00F413AB">
        <w:rPr>
          <w:lang w:val="mi-NZ"/>
        </w:rPr>
        <w:t xml:space="preserve"> </w:t>
      </w:r>
      <w:r w:rsidR="00C5351D">
        <w:rPr>
          <w:lang w:val="mi-NZ"/>
        </w:rPr>
        <w:t xml:space="preserve">and the </w:t>
      </w:r>
      <w:r w:rsidR="009C6A85">
        <w:rPr>
          <w:lang w:val="mi-NZ"/>
        </w:rPr>
        <w:t xml:space="preserve">stance </w:t>
      </w:r>
      <w:r w:rsidR="00F413AB">
        <w:rPr>
          <w:lang w:val="mi-NZ"/>
        </w:rPr>
        <w:t>that has been taken by WPATH</w:t>
      </w:r>
      <w:r w:rsidR="00C5351D">
        <w:rPr>
          <w:lang w:val="mi-NZ"/>
        </w:rPr>
        <w:t xml:space="preserve"> </w:t>
      </w:r>
      <w:r w:rsidR="00D50606">
        <w:rPr>
          <w:lang w:val="mi-NZ"/>
        </w:rPr>
        <w:t>has led t</w:t>
      </w:r>
      <w:r w:rsidR="003D6C8C">
        <w:rPr>
          <w:lang w:val="mi-NZ"/>
        </w:rPr>
        <w:t>o</w:t>
      </w:r>
      <w:r w:rsidR="00D50606">
        <w:rPr>
          <w:lang w:val="mi-NZ"/>
        </w:rPr>
        <w:t xml:space="preserve"> these</w:t>
      </w:r>
      <w:r w:rsidR="00C5351D">
        <w:rPr>
          <w:lang w:val="mi-NZ"/>
        </w:rPr>
        <w:t xml:space="preserve"> being replaced in many countries</w:t>
      </w:r>
      <w:r w:rsidR="003D6C8C">
        <w:rPr>
          <w:lang w:val="mi-NZ"/>
        </w:rPr>
        <w:t>,</w:t>
      </w:r>
      <w:r w:rsidR="00C5351D">
        <w:rPr>
          <w:lang w:val="mi-NZ"/>
        </w:rPr>
        <w:t xml:space="preserve"> b</w:t>
      </w:r>
      <w:r w:rsidR="009C6A85">
        <w:rPr>
          <w:lang w:val="mi-NZ"/>
        </w:rPr>
        <w:t xml:space="preserve">y </w:t>
      </w:r>
      <w:r w:rsidR="002512CD">
        <w:rPr>
          <w:lang w:val="mi-NZ"/>
        </w:rPr>
        <w:t>approaches that prioritise</w:t>
      </w:r>
      <w:r w:rsidR="009C6A85">
        <w:rPr>
          <w:lang w:val="mi-NZ"/>
        </w:rPr>
        <w:t xml:space="preserve"> psychological support</w:t>
      </w:r>
      <w:r w:rsidR="002512CD">
        <w:rPr>
          <w:lang w:val="mi-NZ"/>
        </w:rPr>
        <w:t xml:space="preserve"> and exploration.</w:t>
      </w:r>
    </w:p>
    <w:p w14:paraId="7E141ED3" w14:textId="77777777" w:rsidR="006A7C14" w:rsidRDefault="008C7225" w:rsidP="00885484">
      <w:r>
        <w:t>This investigation has shown that</w:t>
      </w:r>
      <w:r w:rsidR="006A7C14">
        <w:t>:</w:t>
      </w:r>
    </w:p>
    <w:p w14:paraId="72D1769C" w14:textId="77777777" w:rsidR="006A7C14" w:rsidRDefault="002A62DF" w:rsidP="00E1456E">
      <w:pPr>
        <w:pStyle w:val="ListParagraph"/>
        <w:numPr>
          <w:ilvl w:val="0"/>
          <w:numId w:val="47"/>
        </w:numPr>
      </w:pPr>
      <w:r>
        <w:t>WPATH SOC 7 had already been the subject of considerable criticism, including by its own authors who advised how its quality could be improved. This information did not influence the PATHA Guideline writers.</w:t>
      </w:r>
      <w:r w:rsidR="008C7225">
        <w:t xml:space="preserve"> </w:t>
      </w:r>
    </w:p>
    <w:p w14:paraId="6EC45FEC" w14:textId="77777777" w:rsidR="0070412D" w:rsidRDefault="006A7C14" w:rsidP="00E1456E">
      <w:pPr>
        <w:pStyle w:val="ListParagraph"/>
        <w:numPr>
          <w:ilvl w:val="0"/>
          <w:numId w:val="47"/>
        </w:numPr>
      </w:pPr>
      <w:r>
        <w:t>T</w:t>
      </w:r>
      <w:r w:rsidR="005F6A91">
        <w:t>he PATHA Guideline</w:t>
      </w:r>
      <w:r w:rsidR="008E36EA">
        <w:t xml:space="preserve"> </w:t>
      </w:r>
      <w:r w:rsidR="00D44972">
        <w:t xml:space="preserve">contains no evidence of having been </w:t>
      </w:r>
      <w:r w:rsidR="00455E40">
        <w:t xml:space="preserve">developed to meet </w:t>
      </w:r>
      <w:r w:rsidR="000E49B6">
        <w:t>a</w:t>
      </w:r>
      <w:r w:rsidR="00CD716F">
        <w:t>ny</w:t>
      </w:r>
      <w:r w:rsidR="000E49B6">
        <w:t xml:space="preserve"> </w:t>
      </w:r>
      <w:r w:rsidR="006672D6">
        <w:t xml:space="preserve">clinical </w:t>
      </w:r>
      <w:r w:rsidR="000E49B6">
        <w:t>guideline standard</w:t>
      </w:r>
      <w:r w:rsidR="009F0BE2">
        <w:t>.</w:t>
      </w:r>
      <w:r w:rsidR="006D6E02">
        <w:t xml:space="preserve"> D</w:t>
      </w:r>
      <w:r w:rsidR="002875DD">
        <w:t>espite the claimed status as a local interpretation of the WPATH SOC 7</w:t>
      </w:r>
      <w:r w:rsidR="001322CD">
        <w:t>,</w:t>
      </w:r>
      <w:r w:rsidR="002875DD">
        <w:t xml:space="preserve"> </w:t>
      </w:r>
      <w:r w:rsidR="005F6A91">
        <w:t>the PATHA Guideline</w:t>
      </w:r>
      <w:r w:rsidR="008E36EA">
        <w:t xml:space="preserve"> </w:t>
      </w:r>
      <w:r w:rsidR="006D6E02">
        <w:t xml:space="preserve">frequently </w:t>
      </w:r>
      <w:r w:rsidR="0073249E">
        <w:t xml:space="preserve">adopts approaches that </w:t>
      </w:r>
      <w:r w:rsidR="00235EB8">
        <w:t xml:space="preserve">go </w:t>
      </w:r>
      <w:r w:rsidR="008E36EA">
        <w:t>considerably</w:t>
      </w:r>
      <w:r w:rsidR="00593515">
        <w:t xml:space="preserve"> beyond</w:t>
      </w:r>
      <w:r w:rsidR="008E36EA">
        <w:t xml:space="preserve"> </w:t>
      </w:r>
      <w:r w:rsidR="00486CED">
        <w:t xml:space="preserve">the recommendations </w:t>
      </w:r>
      <w:r w:rsidR="001E2004">
        <w:t>found there</w:t>
      </w:r>
      <w:r w:rsidR="00486CED">
        <w:t xml:space="preserve">. </w:t>
      </w:r>
      <w:r w:rsidR="003E2077">
        <w:t>Ev</w:t>
      </w:r>
      <w:r w:rsidR="006A260A">
        <w:t xml:space="preserve">idence </w:t>
      </w:r>
      <w:r w:rsidR="009904FB">
        <w:t xml:space="preserve">to support </w:t>
      </w:r>
      <w:r w:rsidR="00486CED">
        <w:t>these additional recommendations</w:t>
      </w:r>
      <w:r w:rsidR="003E2077">
        <w:t xml:space="preserve"> is limited </w:t>
      </w:r>
      <w:r w:rsidR="006256E0">
        <w:t>or entirely lacking</w:t>
      </w:r>
      <w:r w:rsidR="004A1ABF">
        <w:t>.</w:t>
      </w:r>
      <w:r w:rsidR="00A305BE">
        <w:t xml:space="preserve"> </w:t>
      </w:r>
    </w:p>
    <w:p w14:paraId="7D6C22B9" w14:textId="77777777" w:rsidR="0070412D" w:rsidRDefault="00794AFD" w:rsidP="00E1456E">
      <w:pPr>
        <w:pStyle w:val="ListParagraph"/>
        <w:numPr>
          <w:ilvl w:val="0"/>
          <w:numId w:val="47"/>
        </w:numPr>
      </w:pPr>
      <w:r>
        <w:t xml:space="preserve">Using Māori </w:t>
      </w:r>
      <w:r w:rsidR="00BD43FA">
        <w:t xml:space="preserve">health </w:t>
      </w:r>
      <w:r>
        <w:t>framework</w:t>
      </w:r>
      <w:r w:rsidR="00BD43FA">
        <w:t>s</w:t>
      </w:r>
      <w:r>
        <w:t xml:space="preserve"> ha</w:t>
      </w:r>
      <w:r w:rsidR="00C876C4">
        <w:t>s</w:t>
      </w:r>
      <w:r>
        <w:t xml:space="preserve"> some benefits </w:t>
      </w:r>
      <w:r w:rsidR="008A1798">
        <w:t xml:space="preserve">in a </w:t>
      </w:r>
      <w:r>
        <w:t xml:space="preserve">New Zealand </w:t>
      </w:r>
      <w:r w:rsidR="008A1798">
        <w:t>se</w:t>
      </w:r>
      <w:r w:rsidR="00061149">
        <w:t>tting</w:t>
      </w:r>
      <w:r w:rsidR="006E4599">
        <w:t>,</w:t>
      </w:r>
      <w:r w:rsidR="00061149">
        <w:t xml:space="preserve"> </w:t>
      </w:r>
      <w:r w:rsidR="003B5679">
        <w:t>and for transgender people</w:t>
      </w:r>
      <w:r w:rsidR="006E4599">
        <w:t>,</w:t>
      </w:r>
      <w:r w:rsidR="003B5679">
        <w:t xml:space="preserve"> </w:t>
      </w:r>
      <w:r>
        <w:t xml:space="preserve">but their use in a </w:t>
      </w:r>
      <w:r w:rsidR="00513050">
        <w:t xml:space="preserve">clinical </w:t>
      </w:r>
      <w:r>
        <w:t xml:space="preserve">guideline </w:t>
      </w:r>
      <w:r w:rsidR="00D44972">
        <w:t xml:space="preserve">also </w:t>
      </w:r>
      <w:r>
        <w:t>appears to be novel</w:t>
      </w:r>
      <w:r w:rsidR="00D06775">
        <w:t>. It</w:t>
      </w:r>
      <w:r w:rsidR="007452D3">
        <w:t xml:space="preserve"> </w:t>
      </w:r>
      <w:r w:rsidR="00593515">
        <w:t>presents problems w</w:t>
      </w:r>
      <w:r w:rsidR="00D66F24">
        <w:t>i</w:t>
      </w:r>
      <w:r w:rsidR="00593515">
        <w:t xml:space="preserve">th </w:t>
      </w:r>
      <w:r w:rsidR="00513050">
        <w:t xml:space="preserve">the </w:t>
      </w:r>
      <w:r w:rsidR="00593515">
        <w:t>organisation of the material</w:t>
      </w:r>
      <w:r w:rsidR="00F62CE9">
        <w:t xml:space="preserve"> into a suitable form for a guideline</w:t>
      </w:r>
      <w:r w:rsidR="00593515">
        <w:t xml:space="preserve">. </w:t>
      </w:r>
    </w:p>
    <w:p w14:paraId="59C8903D" w14:textId="77777777" w:rsidR="00E1456E" w:rsidRDefault="00593515" w:rsidP="00E1456E">
      <w:pPr>
        <w:pStyle w:val="ListParagraph"/>
        <w:numPr>
          <w:ilvl w:val="0"/>
          <w:numId w:val="47"/>
        </w:numPr>
      </w:pPr>
      <w:r>
        <w:t>C</w:t>
      </w:r>
      <w:r w:rsidR="007452D3">
        <w:t xml:space="preserve">laims </w:t>
      </w:r>
      <w:r w:rsidR="00475F3E">
        <w:t>that</w:t>
      </w:r>
      <w:r w:rsidR="007452D3">
        <w:t xml:space="preserve"> </w:t>
      </w:r>
      <w:r w:rsidR="00FB3BCC">
        <w:t>transgender identities a</w:t>
      </w:r>
      <w:r w:rsidR="00475F3E">
        <w:t>re</w:t>
      </w:r>
      <w:r w:rsidR="00FB3BCC">
        <w:t xml:space="preserve"> an indigenous historical fact </w:t>
      </w:r>
      <w:r w:rsidR="008B086E">
        <w:t xml:space="preserve">in New Zealand </w:t>
      </w:r>
      <w:r w:rsidR="00C521D4">
        <w:t xml:space="preserve">are not supported by the cited </w:t>
      </w:r>
      <w:r w:rsidR="00E13C72">
        <w:t>research</w:t>
      </w:r>
      <w:r w:rsidR="00FB3BCC">
        <w:t xml:space="preserve">. </w:t>
      </w:r>
    </w:p>
    <w:p w14:paraId="63E7F074" w14:textId="0FFE826D" w:rsidR="000E49B6" w:rsidRDefault="00ED6B08" w:rsidP="00885484">
      <w:r>
        <w:t xml:space="preserve">The evidence points to the likelihood of significant overtreatment of people, including many children and young people, who, had they been assessed under the SOC 7 Guideline, would not have had their gender confusion medicalised. </w:t>
      </w:r>
      <w:r w:rsidR="009A4A90">
        <w:t xml:space="preserve"> </w:t>
      </w:r>
      <w:r w:rsidR="00447138">
        <w:t xml:space="preserve">The </w:t>
      </w:r>
      <w:r w:rsidR="00252413">
        <w:t>conclusion section</w:t>
      </w:r>
      <w:r w:rsidR="00F41A55">
        <w:t xml:space="preserve"> suggests that the lack of an agreed approach for creating clinical guidelines is a form of regulatory failure</w:t>
      </w:r>
      <w:r w:rsidR="009A4A90">
        <w:t xml:space="preserve"> which the authors of the </w:t>
      </w:r>
      <w:r w:rsidR="006C21CB">
        <w:t xml:space="preserve">PATHA </w:t>
      </w:r>
      <w:r w:rsidR="009A4A90">
        <w:t xml:space="preserve">Guideline have </w:t>
      </w:r>
      <w:r w:rsidR="005D4DF0">
        <w:t>taken advantage of</w:t>
      </w:r>
      <w:r w:rsidR="006C21CB">
        <w:t xml:space="preserve">. </w:t>
      </w:r>
      <w:r w:rsidR="00C5274C">
        <w:t xml:space="preserve"> </w:t>
      </w:r>
      <w:r>
        <w:t>A series of suggestions for review are made</w:t>
      </w:r>
      <w:r w:rsidR="006C4047">
        <w:t>,</w:t>
      </w:r>
      <w:r w:rsidR="009A4A90">
        <w:t xml:space="preserve"> including that </w:t>
      </w:r>
      <w:r w:rsidR="00A72F52">
        <w:t xml:space="preserve">future guidelines should be </w:t>
      </w:r>
      <w:r w:rsidR="00473078">
        <w:t>developed to</w:t>
      </w:r>
      <w:r w:rsidR="0059010D">
        <w:t xml:space="preserve"> meet </w:t>
      </w:r>
      <w:r w:rsidR="00635CBF">
        <w:t xml:space="preserve">an international Clinical Practice Guideline </w:t>
      </w:r>
      <w:r w:rsidR="0059010D">
        <w:t>methodology</w:t>
      </w:r>
      <w:r w:rsidR="00635CBF">
        <w:t>.</w:t>
      </w:r>
      <w:r w:rsidR="00F41A55">
        <w:t xml:space="preserve"> </w:t>
      </w:r>
    </w:p>
    <w:p w14:paraId="02D724E1" w14:textId="4C2584F5" w:rsidR="00CC4FD2" w:rsidRDefault="00CC4FD2" w:rsidP="00885484">
      <w:pPr>
        <w:pStyle w:val="Heading2"/>
      </w:pPr>
      <w:bookmarkStart w:id="13" w:name="_Toc140574828"/>
      <w:bookmarkStart w:id="14" w:name="_Toc143668006"/>
      <w:bookmarkStart w:id="15" w:name="_Toc145238119"/>
      <w:bookmarkStart w:id="16" w:name="_Toc156044299"/>
      <w:r>
        <w:t>History</w:t>
      </w:r>
      <w:bookmarkEnd w:id="13"/>
      <w:r w:rsidR="00205B44">
        <w:t xml:space="preserve"> of the Guideline</w:t>
      </w:r>
      <w:bookmarkEnd w:id="14"/>
      <w:bookmarkEnd w:id="15"/>
      <w:bookmarkEnd w:id="16"/>
    </w:p>
    <w:p w14:paraId="49516980" w14:textId="49F84DFB" w:rsidR="0002058E" w:rsidRDefault="00B70194" w:rsidP="00885484">
      <w:pPr>
        <w:rPr>
          <w:lang w:val="mi-NZ"/>
        </w:rPr>
      </w:pPr>
      <w:r>
        <w:rPr>
          <w:lang w:val="mi-NZ"/>
        </w:rPr>
        <w:t xml:space="preserve">The </w:t>
      </w:r>
      <w:r w:rsidR="0074591A">
        <w:rPr>
          <w:lang w:val="mi-NZ"/>
        </w:rPr>
        <w:t xml:space="preserve">PATHA </w:t>
      </w:r>
      <w:r>
        <w:rPr>
          <w:lang w:val="mi-NZ"/>
        </w:rPr>
        <w:t xml:space="preserve">was founded in 2019 after splitting off from </w:t>
      </w:r>
      <w:r w:rsidR="00A676DE">
        <w:rPr>
          <w:lang w:val="mi-NZ"/>
        </w:rPr>
        <w:t xml:space="preserve">the Australasian group </w:t>
      </w:r>
      <w:r w:rsidR="00E74615">
        <w:rPr>
          <w:lang w:val="mi-NZ"/>
        </w:rPr>
        <w:t>A</w:t>
      </w:r>
      <w:r w:rsidR="000532DC">
        <w:rPr>
          <w:lang w:val="mi-NZ"/>
        </w:rPr>
        <w:t>us</w:t>
      </w:r>
      <w:r w:rsidR="00A676DE">
        <w:rPr>
          <w:lang w:val="mi-NZ"/>
        </w:rPr>
        <w:t>PATH</w:t>
      </w:r>
      <w:r w:rsidR="00E74615">
        <w:rPr>
          <w:lang w:val="mi-NZ"/>
        </w:rPr>
        <w:t xml:space="preserve">. It is </w:t>
      </w:r>
      <w:r w:rsidR="00A3004A">
        <w:rPr>
          <w:lang w:val="mi-NZ"/>
        </w:rPr>
        <w:t xml:space="preserve">one </w:t>
      </w:r>
      <w:r w:rsidR="00E74615">
        <w:rPr>
          <w:lang w:val="mi-NZ"/>
        </w:rPr>
        <w:t xml:space="preserve">of the groups of national </w:t>
      </w:r>
      <w:r w:rsidR="00A676DE">
        <w:rPr>
          <w:lang w:val="mi-NZ"/>
        </w:rPr>
        <w:t>t</w:t>
      </w:r>
      <w:r w:rsidR="00E74615">
        <w:rPr>
          <w:lang w:val="mi-NZ"/>
        </w:rPr>
        <w:t>ransgender health</w:t>
      </w:r>
      <w:r w:rsidR="00A676DE">
        <w:rPr>
          <w:lang w:val="mi-NZ"/>
        </w:rPr>
        <w:t xml:space="preserve"> organisations</w:t>
      </w:r>
      <w:r w:rsidR="00CC0E9B">
        <w:rPr>
          <w:lang w:val="mi-NZ"/>
        </w:rPr>
        <w:t xml:space="preserve">, </w:t>
      </w:r>
      <w:r w:rsidR="00E74615">
        <w:rPr>
          <w:lang w:val="mi-NZ"/>
        </w:rPr>
        <w:t xml:space="preserve">along with </w:t>
      </w:r>
      <w:r w:rsidR="00312309">
        <w:rPr>
          <w:lang w:val="mi-NZ"/>
        </w:rPr>
        <w:t xml:space="preserve">AusPATH, </w:t>
      </w:r>
      <w:r w:rsidR="00E74615">
        <w:rPr>
          <w:lang w:val="mi-NZ"/>
        </w:rPr>
        <w:t>USPAT</w:t>
      </w:r>
      <w:r w:rsidR="00546AEB">
        <w:rPr>
          <w:lang w:val="mi-NZ"/>
        </w:rPr>
        <w:t xml:space="preserve">H </w:t>
      </w:r>
      <w:r w:rsidR="00E74615">
        <w:rPr>
          <w:lang w:val="mi-NZ"/>
        </w:rPr>
        <w:t>EPATH</w:t>
      </w:r>
      <w:r w:rsidR="00CC4FD2">
        <w:rPr>
          <w:lang w:val="mi-NZ"/>
        </w:rPr>
        <w:t xml:space="preserve"> </w:t>
      </w:r>
      <w:r w:rsidR="00CC0E9B">
        <w:rPr>
          <w:lang w:val="mi-NZ"/>
        </w:rPr>
        <w:t>(</w:t>
      </w:r>
      <w:r w:rsidR="00CC4FD2">
        <w:rPr>
          <w:lang w:val="mi-NZ"/>
        </w:rPr>
        <w:t>the European organisation</w:t>
      </w:r>
      <w:r w:rsidR="00CC0E9B">
        <w:rPr>
          <w:lang w:val="mi-NZ"/>
        </w:rPr>
        <w:t>)</w:t>
      </w:r>
      <w:r w:rsidR="00546AEB">
        <w:rPr>
          <w:lang w:val="mi-NZ"/>
        </w:rPr>
        <w:t xml:space="preserve"> and others</w:t>
      </w:r>
      <w:r w:rsidR="00CC0E9B">
        <w:rPr>
          <w:lang w:val="mi-NZ"/>
        </w:rPr>
        <w:t>,</w:t>
      </w:r>
      <w:r w:rsidR="000E0790">
        <w:rPr>
          <w:lang w:val="mi-NZ"/>
        </w:rPr>
        <w:t xml:space="preserve"> </w:t>
      </w:r>
      <w:r w:rsidR="00A3004A">
        <w:rPr>
          <w:lang w:val="mi-NZ"/>
        </w:rPr>
        <w:t>who operate under the umbrella of t</w:t>
      </w:r>
      <w:r w:rsidR="00CC4FD2">
        <w:rPr>
          <w:lang w:val="mi-NZ"/>
        </w:rPr>
        <w:t>h</w:t>
      </w:r>
      <w:r w:rsidR="00A3004A">
        <w:rPr>
          <w:lang w:val="mi-NZ"/>
        </w:rPr>
        <w:t xml:space="preserve">e World Professional Association of </w:t>
      </w:r>
      <w:r w:rsidR="000574FF">
        <w:rPr>
          <w:lang w:val="mi-NZ"/>
        </w:rPr>
        <w:t>T</w:t>
      </w:r>
      <w:r w:rsidR="00A3004A">
        <w:rPr>
          <w:lang w:val="mi-NZ"/>
        </w:rPr>
        <w:t xml:space="preserve">ransgender Health </w:t>
      </w:r>
      <w:r w:rsidR="000574FF">
        <w:rPr>
          <w:lang w:val="mi-NZ"/>
        </w:rPr>
        <w:t>(WPATH)</w:t>
      </w:r>
      <w:r w:rsidR="00312309">
        <w:rPr>
          <w:lang w:val="mi-NZ"/>
        </w:rPr>
        <w:t xml:space="preserve">. </w:t>
      </w:r>
      <w:r w:rsidR="002A2F6A">
        <w:rPr>
          <w:lang w:val="mi-NZ"/>
        </w:rPr>
        <w:t>The Guideline</w:t>
      </w:r>
      <w:r w:rsidR="0002058E">
        <w:rPr>
          <w:lang w:val="mi-NZ"/>
        </w:rPr>
        <w:t xml:space="preserve"> </w:t>
      </w:r>
      <w:r w:rsidR="00312309">
        <w:rPr>
          <w:lang w:val="mi-NZ"/>
        </w:rPr>
        <w:t>was</w:t>
      </w:r>
      <w:r w:rsidR="0002058E">
        <w:rPr>
          <w:lang w:val="mi-NZ"/>
        </w:rPr>
        <w:t xml:space="preserve"> published in 2018</w:t>
      </w:r>
      <w:r w:rsidR="000D58AC">
        <w:rPr>
          <w:lang w:val="mi-NZ"/>
        </w:rPr>
        <w:t xml:space="preserve"> </w:t>
      </w:r>
      <w:r w:rsidR="0002058E">
        <w:rPr>
          <w:lang w:val="mi-NZ"/>
        </w:rPr>
        <w:fldChar w:fldCharType="begin"/>
      </w:r>
      <w:r w:rsidR="0002058E">
        <w:rPr>
          <w:lang w:val="mi-NZ"/>
        </w:rPr>
        <w:instrText xml:space="preserve"> ADDIN ZOTERO_ITEM CSL_CITATION {"citationID":"1UAyOKfq","properties":{"formattedCitation":"(Oliphant et al., 2018)","plainCitation":"(Oliphant et al., 2018)","noteIndex":0},"citationItems":[{"id":8571,"uris":["http://zotero.org/groups/4882545/items/HQBYRTWE"],"itemData":{"id":8571,"type":"report","event-place":"Hamilton, NZ","publisher":"Transgender Health Research Lab, University of Waikato,","publisher-place":"Hamilton, NZ","title":"Guidelines for gender affirming healthcare for gender diverse and transgender children, young people and adults in Aotearoa.","URL":"https://researchcommons.waikato.ac.nz/bitstream/handle/10289/12160/Guidelines%20for%20Gender%20Affirming%20Health%20low%20res.pdf","author":[{"family":"Oliphant","given":"Jeannie"},{"family":"Veale","given":"Jaimie F."},{"family":"MacDonald","given":"Joe"},{"family":"Carroll","given":"Richard"},{"family":"Harte","given":"Mo"},{"family":"Stephenson","given":"Cathy"},{"family":"Bullock","given":"Jemima J"}],"accessed":{"date-parts":[["2019",7,12]]},"issued":{"date-parts":[["2018",10]]}}}],"schema":"https://github.com/citation-style-language/schema/raw/master/csl-citation.json"} </w:instrText>
      </w:r>
      <w:r w:rsidR="0002058E">
        <w:rPr>
          <w:lang w:val="mi-NZ"/>
        </w:rPr>
        <w:fldChar w:fldCharType="separate"/>
      </w:r>
      <w:r w:rsidR="0002058E" w:rsidRPr="005164F2">
        <w:rPr>
          <w:rFonts w:cs="Calibri"/>
        </w:rPr>
        <w:t>(Oliphant et al., 2018)</w:t>
      </w:r>
      <w:r w:rsidR="0002058E">
        <w:rPr>
          <w:lang w:val="mi-NZ"/>
        </w:rPr>
        <w:fldChar w:fldCharType="end"/>
      </w:r>
      <w:r w:rsidR="0002058E">
        <w:rPr>
          <w:lang w:val="mi-NZ"/>
        </w:rPr>
        <w:t xml:space="preserve"> by the </w:t>
      </w:r>
      <w:r w:rsidR="0002058E" w:rsidRPr="005164F2">
        <w:rPr>
          <w:lang w:val="mi-NZ"/>
        </w:rPr>
        <w:t>Transgender Health Research Lab</w:t>
      </w:r>
      <w:r w:rsidR="00FE42A1">
        <w:rPr>
          <w:lang w:val="mi-NZ"/>
        </w:rPr>
        <w:t xml:space="preserve"> at the </w:t>
      </w:r>
      <w:r w:rsidR="0002058E" w:rsidRPr="005164F2">
        <w:rPr>
          <w:lang w:val="mi-NZ"/>
        </w:rPr>
        <w:t>University of Waikato</w:t>
      </w:r>
      <w:r w:rsidR="005B0138">
        <w:rPr>
          <w:lang w:val="mi-NZ"/>
        </w:rPr>
        <w:t xml:space="preserve"> </w:t>
      </w:r>
      <w:r w:rsidR="00312309">
        <w:rPr>
          <w:lang w:val="mi-NZ"/>
        </w:rPr>
        <w:t xml:space="preserve">and has </w:t>
      </w:r>
      <w:r w:rsidR="005B0138">
        <w:rPr>
          <w:lang w:val="mi-NZ"/>
        </w:rPr>
        <w:t xml:space="preserve">subsequently been </w:t>
      </w:r>
      <w:r w:rsidR="00FE42A1">
        <w:rPr>
          <w:lang w:val="mi-NZ"/>
        </w:rPr>
        <w:t xml:space="preserve">placed </w:t>
      </w:r>
      <w:r w:rsidR="005B0138">
        <w:rPr>
          <w:lang w:val="mi-NZ"/>
        </w:rPr>
        <w:t>on the PATHA website</w:t>
      </w:r>
      <w:r w:rsidR="00BD4F6F">
        <w:rPr>
          <w:lang w:val="mi-NZ"/>
        </w:rPr>
        <w:t xml:space="preserve"> and </w:t>
      </w:r>
      <w:r w:rsidR="002C1FE3">
        <w:rPr>
          <w:lang w:val="mi-NZ"/>
        </w:rPr>
        <w:t xml:space="preserve">is </w:t>
      </w:r>
      <w:r w:rsidR="00BD4F6F">
        <w:rPr>
          <w:lang w:val="mi-NZ"/>
        </w:rPr>
        <w:t>claimed as a product of PATHA.</w:t>
      </w:r>
      <w:r w:rsidR="000574FF">
        <w:rPr>
          <w:lang w:val="mi-NZ"/>
        </w:rPr>
        <w:t xml:space="preserve"> A previous </w:t>
      </w:r>
      <w:r w:rsidR="00D1185A">
        <w:rPr>
          <w:lang w:val="mi-NZ"/>
        </w:rPr>
        <w:t>guideline,</w:t>
      </w:r>
      <w:r w:rsidR="000574FF">
        <w:rPr>
          <w:lang w:val="mi-NZ"/>
        </w:rPr>
        <w:t xml:space="preserve"> which the 2018 </w:t>
      </w:r>
      <w:r w:rsidR="00D06775">
        <w:rPr>
          <w:lang w:val="mi-NZ"/>
        </w:rPr>
        <w:t xml:space="preserve">PATHA </w:t>
      </w:r>
      <w:r w:rsidR="000574FF">
        <w:rPr>
          <w:lang w:val="mi-NZ"/>
        </w:rPr>
        <w:t xml:space="preserve">guideline </w:t>
      </w:r>
      <w:r w:rsidR="00FE42A1">
        <w:rPr>
          <w:lang w:val="mi-NZ"/>
        </w:rPr>
        <w:t xml:space="preserve">says it </w:t>
      </w:r>
      <w:r w:rsidR="000574FF">
        <w:rPr>
          <w:lang w:val="mi-NZ"/>
        </w:rPr>
        <w:t>replaces</w:t>
      </w:r>
      <w:r w:rsidR="00D1185A">
        <w:rPr>
          <w:lang w:val="mi-NZ"/>
        </w:rPr>
        <w:t>,</w:t>
      </w:r>
      <w:r w:rsidR="000574FF">
        <w:rPr>
          <w:lang w:val="mi-NZ"/>
        </w:rPr>
        <w:t xml:space="preserve"> was published in </w:t>
      </w:r>
      <w:r w:rsidR="00486437">
        <w:rPr>
          <w:lang w:val="mi-NZ"/>
        </w:rPr>
        <w:t>201</w:t>
      </w:r>
      <w:r w:rsidR="00450138">
        <w:rPr>
          <w:lang w:val="mi-NZ"/>
        </w:rPr>
        <w:t xml:space="preserve">1 </w:t>
      </w:r>
      <w:r w:rsidR="00D4326C">
        <w:rPr>
          <w:lang w:val="mi-NZ"/>
        </w:rPr>
        <w:fldChar w:fldCharType="begin"/>
      </w:r>
      <w:r w:rsidR="00BB2F77">
        <w:rPr>
          <w:lang w:val="mi-NZ"/>
        </w:rPr>
        <w:instrText xml:space="preserve"> ADDIN ZOTERO_ITEM CSL_CITATION {"citationID":"xbGAly3K","properties":{"formattedCitation":"(Counties Manukau DHB, 2011)","plainCitation":"(Counties Manukau DHB, 2011)","noteIndex":0},"citationItems":[{"id":1826,"uris":["http://zotero.org/groups/2320358/items/42ZLUTWP"],"itemData":{"id":1826,"type":"article-journal","abstract":"Most of these children (about three quarters) will not be trans adults, but many will retain some sexual preference \nor gender issues.  Those that are most gender dysphoric as children seem to be most likely to persist as a trans \nperson in adult life.","language":"en","page":"55","source":"Zotero","title":"Gender Reassignment Health Services for Trans People within New Zealand","URL":"https://www.moh.govt.nz/notebook/nbbooks.nsf/0/255ADB3E32BC40EACC2578F5000AF05B/$file/gender-reassignment-health-services-for-trans-people-nz.pdf","author":[{"family":"Counties Manukau DHB","given":""}],"issued":{"date-parts":[["2011",3]]}}}],"schema":"https://github.com/citation-style-language/schema/raw/master/csl-citation.json"} </w:instrText>
      </w:r>
      <w:r w:rsidR="00D4326C">
        <w:rPr>
          <w:lang w:val="mi-NZ"/>
        </w:rPr>
        <w:fldChar w:fldCharType="separate"/>
      </w:r>
      <w:r w:rsidR="00BB2F77" w:rsidRPr="00BB2F77">
        <w:rPr>
          <w:rFonts w:cs="Calibri"/>
        </w:rPr>
        <w:t>(Counties Manukau DHB, 2011)</w:t>
      </w:r>
      <w:r w:rsidR="00D4326C">
        <w:rPr>
          <w:lang w:val="mi-NZ"/>
        </w:rPr>
        <w:fldChar w:fldCharType="end"/>
      </w:r>
      <w:r w:rsidR="009F074E">
        <w:rPr>
          <w:lang w:val="mi-NZ"/>
        </w:rPr>
        <w:t xml:space="preserve"> </w:t>
      </w:r>
      <w:r w:rsidR="009F074E">
        <w:t>shortly before WPATH’s SOC 7.</w:t>
      </w:r>
    </w:p>
    <w:p w14:paraId="0ACAF5DC" w14:textId="56639E8F" w:rsidR="000B3DB7" w:rsidRDefault="002A2F6A" w:rsidP="00885484">
      <w:r>
        <w:rPr>
          <w:lang w:val="mi-NZ"/>
        </w:rPr>
        <w:t>The PATHA Guideline</w:t>
      </w:r>
      <w:r w:rsidR="0067075A">
        <w:rPr>
          <w:lang w:val="mi-NZ"/>
        </w:rPr>
        <w:t xml:space="preserve"> </w:t>
      </w:r>
      <w:r w:rsidR="00CF7E9A">
        <w:rPr>
          <w:lang w:val="mi-NZ"/>
        </w:rPr>
        <w:t>was</w:t>
      </w:r>
      <w:r w:rsidR="00765DC1">
        <w:rPr>
          <w:lang w:val="mi-NZ"/>
        </w:rPr>
        <w:t xml:space="preserve"> </w:t>
      </w:r>
      <w:r w:rsidR="00D572AB">
        <w:rPr>
          <w:lang w:val="mi-NZ"/>
        </w:rPr>
        <w:t xml:space="preserve">added to the transgender health care guidance provided </w:t>
      </w:r>
      <w:r w:rsidR="00F34865">
        <w:rPr>
          <w:lang w:val="mi-NZ"/>
        </w:rPr>
        <w:t>by</w:t>
      </w:r>
      <w:r w:rsidR="00D572AB">
        <w:rPr>
          <w:lang w:val="mi-NZ"/>
        </w:rPr>
        <w:t xml:space="preserve"> </w:t>
      </w:r>
      <w:r w:rsidR="005164F2">
        <w:rPr>
          <w:lang w:val="mi-NZ"/>
        </w:rPr>
        <w:t>Te Whatu Ora</w:t>
      </w:r>
      <w:r w:rsidR="00A8114B">
        <w:rPr>
          <w:lang w:val="mi-NZ"/>
        </w:rPr>
        <w:t xml:space="preserve"> </w:t>
      </w:r>
      <w:r w:rsidR="000E0911">
        <w:rPr>
          <w:lang w:val="mi-NZ"/>
        </w:rPr>
        <w:t xml:space="preserve">/ Health </w:t>
      </w:r>
      <w:r w:rsidR="00A8114B">
        <w:rPr>
          <w:lang w:val="mi-NZ"/>
        </w:rPr>
        <w:t>New Zealand which operates the public h</w:t>
      </w:r>
      <w:r w:rsidR="009376A5">
        <w:rPr>
          <w:lang w:val="mi-NZ"/>
        </w:rPr>
        <w:t>ealth</w:t>
      </w:r>
      <w:r w:rsidR="00A8114B">
        <w:rPr>
          <w:lang w:val="mi-NZ"/>
        </w:rPr>
        <w:t xml:space="preserve"> </w:t>
      </w:r>
      <w:r w:rsidR="009376A5">
        <w:rPr>
          <w:lang w:val="mi-NZ"/>
        </w:rPr>
        <w:t>system</w:t>
      </w:r>
      <w:r w:rsidR="00AE2DD7">
        <w:rPr>
          <w:lang w:val="mi-NZ"/>
        </w:rPr>
        <w:t>.</w:t>
      </w:r>
      <w:r w:rsidR="00B22B12">
        <w:rPr>
          <w:lang w:val="mi-NZ"/>
        </w:rPr>
        <w:t xml:space="preserve"> </w:t>
      </w:r>
      <w:r w:rsidR="005164F2">
        <w:rPr>
          <w:lang w:val="mi-NZ"/>
        </w:rPr>
        <w:fldChar w:fldCharType="begin"/>
      </w:r>
      <w:r w:rsidR="00E023BF">
        <w:rPr>
          <w:lang w:val="mi-NZ"/>
        </w:rPr>
        <w:instrText xml:space="preserve"> ADDIN ZOTERO_ITEM CSL_CITATION {"citationID":"jPwY4A0q","properties":{"formattedCitation":"(Te Whatu Ora, 2023b)","plainCitation":"(Te Whatu Ora, 2023b)","noteIndex":0},"citationItems":[{"id":11645,"uris":["http://zotero.org/groups/4882545/items/NMW68T8T"],"itemData":{"id":11645,"type":"webpage","abstract":"links to PATHA guidelines","title":"Providing health services for transgender people – Te Whatu Ora - Health New Zealand","URL":"https://www.tewhatuora.govt.nz/our-health-system/preventative-healthwellness/providing-health-services-for-transgender-people/#resources-for-health-professionals","author":[{"family":"Te Whatu Ora","given":""}],"accessed":{"date-parts":[["2023",7,9]]},"issued":{"date-parts":[["2023",4,24]]}}}],"schema":"https://github.com/citation-style-language/schema/raw/master/csl-citation.json"} </w:instrText>
      </w:r>
      <w:r w:rsidR="005164F2">
        <w:rPr>
          <w:lang w:val="mi-NZ"/>
        </w:rPr>
        <w:fldChar w:fldCharType="separate"/>
      </w:r>
      <w:r w:rsidR="00E023BF" w:rsidRPr="00E023BF">
        <w:rPr>
          <w:rFonts w:cs="Calibri"/>
        </w:rPr>
        <w:t>Te Whatu Ora, 2023b)</w:t>
      </w:r>
      <w:r w:rsidR="005164F2">
        <w:rPr>
          <w:lang w:val="mi-NZ"/>
        </w:rPr>
        <w:fldChar w:fldCharType="end"/>
      </w:r>
      <w:r w:rsidR="00D572AB">
        <w:rPr>
          <w:lang w:val="mi-NZ"/>
        </w:rPr>
        <w:t xml:space="preserve"> </w:t>
      </w:r>
      <w:r w:rsidR="002030F8">
        <w:rPr>
          <w:lang w:val="mi-NZ"/>
        </w:rPr>
        <w:t>(</w:t>
      </w:r>
      <w:r w:rsidR="00AE2DD7">
        <w:rPr>
          <w:lang w:val="mi-NZ"/>
        </w:rPr>
        <w:t>Health New Zealand was formed</w:t>
      </w:r>
      <w:r w:rsidR="00047B95">
        <w:rPr>
          <w:lang w:val="mi-NZ"/>
        </w:rPr>
        <w:t xml:space="preserve"> </w:t>
      </w:r>
      <w:r w:rsidR="000E0911">
        <w:rPr>
          <w:lang w:val="mi-NZ"/>
        </w:rPr>
        <w:t>in 2022</w:t>
      </w:r>
      <w:r w:rsidR="00B22B12">
        <w:rPr>
          <w:lang w:val="mi-NZ"/>
        </w:rPr>
        <w:t>,</w:t>
      </w:r>
      <w:r w:rsidR="00242216">
        <w:rPr>
          <w:lang w:val="mi-NZ"/>
        </w:rPr>
        <w:t xml:space="preserve"> following the amalgamation of </w:t>
      </w:r>
      <w:r w:rsidR="00A354F5">
        <w:rPr>
          <w:lang w:val="mi-NZ"/>
        </w:rPr>
        <w:t xml:space="preserve">New Zealand’s </w:t>
      </w:r>
      <w:r w:rsidR="00242216">
        <w:rPr>
          <w:lang w:val="mi-NZ"/>
        </w:rPr>
        <w:t xml:space="preserve">District Health </w:t>
      </w:r>
      <w:r w:rsidR="00924818">
        <w:rPr>
          <w:lang w:val="mi-NZ"/>
        </w:rPr>
        <w:t>Boards</w:t>
      </w:r>
      <w:r w:rsidR="00B22B12">
        <w:rPr>
          <w:lang w:val="mi-NZ"/>
        </w:rPr>
        <w:t xml:space="preserve"> into one </w:t>
      </w:r>
      <w:r w:rsidR="000B7ED7">
        <w:rPr>
          <w:lang w:val="mi-NZ"/>
        </w:rPr>
        <w:t>national</w:t>
      </w:r>
      <w:r w:rsidR="00B22B12">
        <w:rPr>
          <w:lang w:val="mi-NZ"/>
        </w:rPr>
        <w:t xml:space="preserve"> organisation</w:t>
      </w:r>
      <w:r w:rsidR="002030F8">
        <w:rPr>
          <w:lang w:val="mi-NZ"/>
        </w:rPr>
        <w:t>)</w:t>
      </w:r>
      <w:r w:rsidR="00924818">
        <w:rPr>
          <w:lang w:val="mi-NZ"/>
        </w:rPr>
        <w:t>.</w:t>
      </w:r>
      <w:r w:rsidR="00AE2DD7">
        <w:rPr>
          <w:lang w:val="mi-NZ"/>
        </w:rPr>
        <w:t xml:space="preserve"> The PATHA Guideline </w:t>
      </w:r>
      <w:r w:rsidR="00D572AB">
        <w:rPr>
          <w:lang w:val="mi-NZ"/>
        </w:rPr>
        <w:t xml:space="preserve">is accompanied </w:t>
      </w:r>
      <w:r w:rsidR="003F7C83">
        <w:rPr>
          <w:lang w:val="mi-NZ"/>
        </w:rPr>
        <w:t>on t</w:t>
      </w:r>
      <w:r w:rsidR="00D06775">
        <w:rPr>
          <w:lang w:val="mi-NZ"/>
        </w:rPr>
        <w:t>h</w:t>
      </w:r>
      <w:r w:rsidR="003F7C83">
        <w:rPr>
          <w:lang w:val="mi-NZ"/>
        </w:rPr>
        <w:t xml:space="preserve">e website </w:t>
      </w:r>
      <w:r w:rsidR="00D572AB">
        <w:rPr>
          <w:lang w:val="mi-NZ"/>
        </w:rPr>
        <w:t xml:space="preserve">by </w:t>
      </w:r>
      <w:r w:rsidR="0067075A">
        <w:rPr>
          <w:lang w:val="mi-NZ"/>
        </w:rPr>
        <w:t>an</w:t>
      </w:r>
      <w:r w:rsidR="00D572AB">
        <w:rPr>
          <w:lang w:val="mi-NZ"/>
        </w:rPr>
        <w:t xml:space="preserve"> article in NZ Doctor magazine (behind a paywall) </w:t>
      </w:r>
      <w:r w:rsidR="008461E0">
        <w:rPr>
          <w:lang w:val="mi-NZ"/>
        </w:rPr>
        <w:t xml:space="preserve">which doubles as </w:t>
      </w:r>
      <w:r w:rsidR="003730E1">
        <w:rPr>
          <w:lang w:val="mi-NZ"/>
        </w:rPr>
        <w:t xml:space="preserve">background for a </w:t>
      </w:r>
      <w:r w:rsidR="008461E0">
        <w:rPr>
          <w:lang w:val="mi-NZ"/>
        </w:rPr>
        <w:t xml:space="preserve">professional development </w:t>
      </w:r>
      <w:r w:rsidR="00D05440">
        <w:rPr>
          <w:lang w:val="mi-NZ"/>
        </w:rPr>
        <w:t xml:space="preserve">course </w:t>
      </w:r>
      <w:r w:rsidR="00D06775">
        <w:rPr>
          <w:lang w:val="mi-NZ"/>
        </w:rPr>
        <w:t xml:space="preserve"> and </w:t>
      </w:r>
      <w:r w:rsidR="00D05440">
        <w:rPr>
          <w:lang w:val="mi-NZ"/>
        </w:rPr>
        <w:t>count</w:t>
      </w:r>
      <w:r w:rsidR="00D06775">
        <w:rPr>
          <w:lang w:val="mi-NZ"/>
        </w:rPr>
        <w:t>s</w:t>
      </w:r>
      <w:r w:rsidR="00D05440">
        <w:rPr>
          <w:lang w:val="mi-NZ"/>
        </w:rPr>
        <w:t xml:space="preserve"> for 1 point </w:t>
      </w:r>
      <w:r w:rsidR="00763AF0">
        <w:rPr>
          <w:lang w:val="mi-NZ"/>
        </w:rPr>
        <w:t xml:space="preserve">of </w:t>
      </w:r>
      <w:r w:rsidR="0042619A">
        <w:rPr>
          <w:lang w:val="mi-NZ"/>
        </w:rPr>
        <w:t>the Medical Council’s</w:t>
      </w:r>
      <w:r w:rsidR="00763AF0">
        <w:rPr>
          <w:lang w:val="mi-NZ"/>
        </w:rPr>
        <w:t xml:space="preserve"> contin</w:t>
      </w:r>
      <w:r w:rsidR="0042619A">
        <w:rPr>
          <w:lang w:val="mi-NZ"/>
        </w:rPr>
        <w:t>u</w:t>
      </w:r>
      <w:r w:rsidR="00763AF0">
        <w:rPr>
          <w:lang w:val="mi-NZ"/>
        </w:rPr>
        <w:t>ing professional development</w:t>
      </w:r>
      <w:r w:rsidR="00312309">
        <w:rPr>
          <w:lang w:val="mi-NZ"/>
        </w:rPr>
        <w:t xml:space="preserve"> programme</w:t>
      </w:r>
      <w:r w:rsidR="0042619A">
        <w:rPr>
          <w:lang w:val="mi-NZ"/>
        </w:rPr>
        <w:t xml:space="preserve">.  </w:t>
      </w:r>
      <w:r w:rsidR="00312309">
        <w:rPr>
          <w:lang w:val="mi-NZ"/>
        </w:rPr>
        <w:t xml:space="preserve">Also listed </w:t>
      </w:r>
      <w:r w:rsidR="0042619A">
        <w:rPr>
          <w:lang w:val="mi-NZ"/>
        </w:rPr>
        <w:t>is</w:t>
      </w:r>
      <w:r w:rsidR="00763AF0">
        <w:rPr>
          <w:lang w:val="mi-NZ"/>
        </w:rPr>
        <w:t xml:space="preserve"> </w:t>
      </w:r>
      <w:r w:rsidR="00F903E9">
        <w:rPr>
          <w:lang w:val="mi-NZ"/>
        </w:rPr>
        <w:t xml:space="preserve">a self-guided </w:t>
      </w:r>
      <w:r w:rsidR="00D572AB">
        <w:rPr>
          <w:lang w:val="mi-NZ"/>
        </w:rPr>
        <w:t xml:space="preserve">offering from transgender advocacy </w:t>
      </w:r>
      <w:r w:rsidR="00B3574C">
        <w:rPr>
          <w:lang w:val="mi-NZ"/>
        </w:rPr>
        <w:t>and activist</w:t>
      </w:r>
      <w:r w:rsidR="00D572AB">
        <w:rPr>
          <w:lang w:val="mi-NZ"/>
        </w:rPr>
        <w:t xml:space="preserve"> organisation Gender Mino</w:t>
      </w:r>
      <w:r w:rsidR="009A1390">
        <w:rPr>
          <w:lang w:val="mi-NZ"/>
        </w:rPr>
        <w:t>rities</w:t>
      </w:r>
      <w:r w:rsidR="00D572AB">
        <w:rPr>
          <w:lang w:val="mi-NZ"/>
        </w:rPr>
        <w:t xml:space="preserve"> Aotearoa</w:t>
      </w:r>
      <w:r w:rsidR="00564635">
        <w:rPr>
          <w:lang w:val="mi-NZ"/>
        </w:rPr>
        <w:t xml:space="preserve"> </w:t>
      </w:r>
      <w:r w:rsidR="00564635">
        <w:rPr>
          <w:lang w:val="mi-NZ"/>
        </w:rPr>
        <w:fldChar w:fldCharType="begin"/>
      </w:r>
      <w:r w:rsidR="0007438E">
        <w:rPr>
          <w:lang w:val="mi-NZ"/>
        </w:rPr>
        <w:instrText xml:space="preserve"> ADDIN ZOTERO_ITEM CSL_CITATION {"citationID":"ldauva6L","properties":{"formattedCitation":"(Gender Minorities Aotearoa, 2021)","plainCitation":"(Gender Minorities Aotearoa, 2021)","noteIndex":0},"citationItems":[{"id":11649,"uris":["http://zotero.org/groups/4882545/items/2YF9IB82"],"itemData":{"id":11649,"type":"webpage","abstract":"Increase your knowledge of issues affecting transgender people. Build confidence in speaking about these issues and providing trans support.","container-title":"Gender Minorities Aotearoa","language":"en-US","title":"Supporting transgender people: online course","title-short":"Supporting transgender people","URL":"https://genderminorities.com/2021/05/11/supporting-transgender-people-online-course/","author":[{"family":"Gender Minorities Aotearoa","given":""}],"accessed":{"date-parts":[["2023",7,9]]},"issued":{"date-parts":[["2021",5,11]]}}}],"schema":"https://github.com/citation-style-language/schema/raw/master/csl-citation.json"} </w:instrText>
      </w:r>
      <w:r w:rsidR="00564635">
        <w:rPr>
          <w:lang w:val="mi-NZ"/>
        </w:rPr>
        <w:fldChar w:fldCharType="separate"/>
      </w:r>
      <w:r w:rsidR="0007438E" w:rsidRPr="0007438E">
        <w:rPr>
          <w:rFonts w:cs="Calibri"/>
        </w:rPr>
        <w:t>(Gender Minorities Aotearoa, 2021)</w:t>
      </w:r>
      <w:r w:rsidR="00564635">
        <w:rPr>
          <w:lang w:val="mi-NZ"/>
        </w:rPr>
        <w:fldChar w:fldCharType="end"/>
      </w:r>
      <w:r w:rsidR="00D572AB">
        <w:rPr>
          <w:lang w:val="mi-NZ"/>
        </w:rPr>
        <w:t xml:space="preserve"> and </w:t>
      </w:r>
      <w:r w:rsidR="00F903E9">
        <w:rPr>
          <w:lang w:val="mi-NZ"/>
        </w:rPr>
        <w:t xml:space="preserve">paid training in </w:t>
      </w:r>
      <w:r w:rsidR="00142EBC">
        <w:rPr>
          <w:lang w:val="mi-NZ"/>
        </w:rPr>
        <w:t>‘</w:t>
      </w:r>
      <w:r w:rsidR="00F903E9">
        <w:rPr>
          <w:lang w:val="mi-NZ"/>
        </w:rPr>
        <w:t>Rainbow Mental Health</w:t>
      </w:r>
      <w:r w:rsidR="00142EBC">
        <w:rPr>
          <w:lang w:val="mi-NZ"/>
        </w:rPr>
        <w:t>’</w:t>
      </w:r>
      <w:r w:rsidR="00F903E9">
        <w:rPr>
          <w:lang w:val="mi-NZ"/>
        </w:rPr>
        <w:t xml:space="preserve"> from NZ youth charity </w:t>
      </w:r>
      <w:r w:rsidR="00D572AB">
        <w:rPr>
          <w:lang w:val="mi-NZ"/>
        </w:rPr>
        <w:t>Inside Out</w:t>
      </w:r>
      <w:r w:rsidR="000D58AC">
        <w:rPr>
          <w:lang w:val="mi-NZ"/>
        </w:rPr>
        <w:t xml:space="preserve"> </w:t>
      </w:r>
      <w:r w:rsidR="00F903E9">
        <w:rPr>
          <w:lang w:val="mi-NZ"/>
        </w:rPr>
        <w:fldChar w:fldCharType="begin"/>
      </w:r>
      <w:r w:rsidR="00F903E9">
        <w:rPr>
          <w:lang w:val="mi-NZ"/>
        </w:rPr>
        <w:instrText xml:space="preserve"> ADDIN ZOTERO_ITEM CSL_CITATION {"citationID":"ew59DcXI","properties":{"formattedCitation":"(InsideOUT, 2021)","plainCitation":"(InsideOUT, 2021)","noteIndex":0},"citationItems":[{"id":11647,"uris":["http://zotero.org/groups/4882545/items/WG8TVUAV"],"itemData":{"id":11647,"type":"webpage","abstract":"Paid courses for health workers screen shot has a power point with the word microaggressions","container-title":"InsideOUT","language":"en-NZ","title":"Mental Health &amp; Addiction","URL":"https://insideout.org.nz/mental_health_addiction_services/","author":[{"family":"InsideOUT","given":""}],"accessed":{"date-parts":[["2023",7,9]]},"issued":{"date-parts":[["2021",9,29]]}}}],"schema":"https://github.com/citation-style-language/schema/raw/master/csl-citation.json"} </w:instrText>
      </w:r>
      <w:r w:rsidR="00F903E9">
        <w:rPr>
          <w:lang w:val="mi-NZ"/>
        </w:rPr>
        <w:fldChar w:fldCharType="separate"/>
      </w:r>
      <w:r w:rsidR="00F903E9" w:rsidRPr="00F903E9">
        <w:rPr>
          <w:rFonts w:cs="Calibri"/>
        </w:rPr>
        <w:t>(InsideOUT, 2021)</w:t>
      </w:r>
      <w:r w:rsidR="00F903E9">
        <w:rPr>
          <w:lang w:val="mi-NZ"/>
        </w:rPr>
        <w:fldChar w:fldCharType="end"/>
      </w:r>
      <w:r w:rsidR="00F903E9">
        <w:rPr>
          <w:lang w:val="mi-NZ"/>
        </w:rPr>
        <w:t xml:space="preserve"> to support ‘</w:t>
      </w:r>
      <w:r w:rsidR="00F903E9" w:rsidRPr="00F903E9">
        <w:rPr>
          <w:i/>
          <w:iCs/>
        </w:rPr>
        <w:t>rainbow, takatāpui and MVPFAFF+</w:t>
      </w:r>
      <w:r w:rsidR="0095531C" w:rsidRPr="00523034">
        <w:rPr>
          <w:rStyle w:val="FootnoteReference"/>
        </w:rPr>
        <w:footnoteReference w:id="2"/>
      </w:r>
      <w:r w:rsidR="00F903E9" w:rsidRPr="00F903E9">
        <w:rPr>
          <w:i/>
          <w:iCs/>
        </w:rPr>
        <w:t xml:space="preserve"> service users</w:t>
      </w:r>
      <w:r w:rsidR="00F903E9">
        <w:t>’</w:t>
      </w:r>
      <w:r w:rsidR="001302A7">
        <w:t xml:space="preserve">. </w:t>
      </w:r>
    </w:p>
    <w:p w14:paraId="213FAC88" w14:textId="3F6ADEDC" w:rsidR="008A3BCA" w:rsidRDefault="008A3BCA" w:rsidP="002E34E8">
      <w:pPr>
        <w:rPr>
          <w:lang w:val="mi-NZ"/>
        </w:rPr>
      </w:pPr>
      <w:r>
        <w:rPr>
          <w:lang w:val="mi-NZ"/>
        </w:rPr>
        <w:t xml:space="preserve">A recent </w:t>
      </w:r>
      <w:r w:rsidR="00CC3A06">
        <w:rPr>
          <w:lang w:val="mi-NZ"/>
        </w:rPr>
        <w:t xml:space="preserve">request by a </w:t>
      </w:r>
      <w:r w:rsidR="00E52A83">
        <w:rPr>
          <w:lang w:val="mi-NZ"/>
        </w:rPr>
        <w:t>journalist</w:t>
      </w:r>
      <w:r w:rsidR="00CC3A06">
        <w:rPr>
          <w:lang w:val="mi-NZ"/>
        </w:rPr>
        <w:t xml:space="preserve"> </w:t>
      </w:r>
      <w:r w:rsidR="00D950EA">
        <w:rPr>
          <w:lang w:val="mi-NZ"/>
        </w:rPr>
        <w:t xml:space="preserve">to the Ministry of Health </w:t>
      </w:r>
      <w:r w:rsidR="00CC3A06">
        <w:rPr>
          <w:lang w:val="mi-NZ"/>
        </w:rPr>
        <w:t>has revea</w:t>
      </w:r>
      <w:r w:rsidR="00D950EA">
        <w:rPr>
          <w:lang w:val="mi-NZ"/>
        </w:rPr>
        <w:t>l</w:t>
      </w:r>
      <w:r w:rsidR="00CC3A06">
        <w:rPr>
          <w:lang w:val="mi-NZ"/>
        </w:rPr>
        <w:t xml:space="preserve">ed that </w:t>
      </w:r>
      <w:r w:rsidR="00D06775">
        <w:rPr>
          <w:lang w:val="mi-NZ"/>
        </w:rPr>
        <w:t>it</w:t>
      </w:r>
      <w:r w:rsidR="00D950EA">
        <w:rPr>
          <w:lang w:val="mi-NZ"/>
        </w:rPr>
        <w:t xml:space="preserve"> </w:t>
      </w:r>
      <w:r>
        <w:rPr>
          <w:lang w:val="mi-NZ"/>
        </w:rPr>
        <w:t>‘</w:t>
      </w:r>
      <w:r w:rsidRPr="002030F8">
        <w:rPr>
          <w:i/>
          <w:iCs/>
          <w:lang w:val="mi-NZ"/>
        </w:rPr>
        <w:t>has not gone through any formal process to review or endorse the PATHA Guideline’</w:t>
      </w:r>
      <w:r w:rsidRPr="000B3DB7">
        <w:rPr>
          <w:lang w:val="mi-NZ"/>
        </w:rPr>
        <w:t>.</w:t>
      </w:r>
      <w:r w:rsidR="00CD3850">
        <w:rPr>
          <w:lang w:val="mi-NZ"/>
        </w:rPr>
        <w:t xml:space="preserve"> The information was provided in response to questions about a review of puberty blocker medication. The Ministry of Health committed to th</w:t>
      </w:r>
      <w:r w:rsidR="0012309D">
        <w:rPr>
          <w:lang w:val="mi-NZ"/>
        </w:rPr>
        <w:t>e review</w:t>
      </w:r>
      <w:r w:rsidR="00CD3850">
        <w:rPr>
          <w:lang w:val="mi-NZ"/>
        </w:rPr>
        <w:t xml:space="preserve"> </w:t>
      </w:r>
      <w:r w:rsidR="00CD3850">
        <w:rPr>
          <w:lang w:val="mi-NZ"/>
        </w:rPr>
        <w:lastRenderedPageBreak/>
        <w:t>following the removal of the advice from the Ministry’s website which had said that they are ‘</w:t>
      </w:r>
      <w:r w:rsidR="00CD3850" w:rsidRPr="002030F8">
        <w:rPr>
          <w:i/>
          <w:iCs/>
          <w:lang w:val="mi-NZ"/>
        </w:rPr>
        <w:t>safe and reversible’</w:t>
      </w:r>
      <w:r w:rsidR="00CD3850">
        <w:rPr>
          <w:lang w:val="mi-NZ"/>
        </w:rPr>
        <w:t>.</w:t>
      </w:r>
      <w:r>
        <w:rPr>
          <w:lang w:val="mi-NZ"/>
        </w:rPr>
        <w:fldChar w:fldCharType="begin"/>
      </w:r>
      <w:r w:rsidR="00AB2934">
        <w:rPr>
          <w:lang w:val="mi-NZ"/>
        </w:rPr>
        <w:instrText xml:space="preserve"> ADDIN ZOTERO_ITEM CSL_CITATION {"citationID":"cqAEUMeD","properties":{"formattedCitation":"(Daalder, 2023)","plainCitation":"(Daalder, 2023)","noteIndex":0},"citationItems":[{"id":11066,"uris":["http://zotero.org/groups/4882545/items/TF5LDDWF"],"itemData":{"id":11066,"type":"report","abstract":"Transgender health advice on the Ministry of Health website was \"no doubt true\" but removed \"in the hopes it creates fewer queries\".","language":"en","note":"section: national","title":"Trans health advice scrubbed following complaints","URL":"https://www.stuff.co.nz/national/health/300838494/trans-health-advice-scrubbed-following-complaints","author":[{"family":"Daalder","given":"Marc"}],"accessed":{"date-parts":[["2023",4,28]]},"issued":{"date-parts":[["2023",3,23]]}}}],"schema":"https://github.com/citation-style-language/schema/raw/master/csl-citation.json"} </w:instrText>
      </w:r>
      <w:r>
        <w:rPr>
          <w:lang w:val="mi-NZ"/>
        </w:rPr>
        <w:fldChar w:fldCharType="separate"/>
      </w:r>
      <w:r w:rsidR="00AB2934" w:rsidRPr="00AB2934">
        <w:rPr>
          <w:rFonts w:cs="Calibri"/>
        </w:rPr>
        <w:t>(Daalder, 2023)</w:t>
      </w:r>
      <w:r>
        <w:rPr>
          <w:lang w:val="mi-NZ"/>
        </w:rPr>
        <w:fldChar w:fldCharType="end"/>
      </w:r>
      <w:r>
        <w:rPr>
          <w:lang w:val="mi-NZ"/>
        </w:rPr>
        <w:t xml:space="preserve">  </w:t>
      </w:r>
    </w:p>
    <w:p w14:paraId="27DCD658" w14:textId="6D9FA407" w:rsidR="009413AB" w:rsidRDefault="00956C5F" w:rsidP="00885484">
      <w:pPr>
        <w:rPr>
          <w:lang w:val="mi-NZ"/>
        </w:rPr>
      </w:pPr>
      <w:r>
        <w:rPr>
          <w:lang w:val="mi-NZ"/>
        </w:rPr>
        <w:t>Since the Guideline was published</w:t>
      </w:r>
      <w:r w:rsidR="00D06775">
        <w:rPr>
          <w:lang w:val="mi-NZ"/>
        </w:rPr>
        <w:t>,</w:t>
      </w:r>
      <w:r>
        <w:rPr>
          <w:lang w:val="mi-NZ"/>
        </w:rPr>
        <w:t xml:space="preserve"> multiple</w:t>
      </w:r>
      <w:r w:rsidR="00802557">
        <w:rPr>
          <w:lang w:val="mi-NZ"/>
        </w:rPr>
        <w:t xml:space="preserve"> national level</w:t>
      </w:r>
      <w:r>
        <w:rPr>
          <w:lang w:val="mi-NZ"/>
        </w:rPr>
        <w:t xml:space="preserve"> evidence based reviews </w:t>
      </w:r>
      <w:r>
        <w:rPr>
          <w:rStyle w:val="b2eff"/>
          <w:rFonts w:eastAsia="Calibri"/>
        </w:rPr>
        <w:t xml:space="preserve">have </w:t>
      </w:r>
      <w:r w:rsidR="00A34196">
        <w:rPr>
          <w:rStyle w:val="b2eff"/>
          <w:rFonts w:eastAsia="Calibri"/>
        </w:rPr>
        <w:t>taken place</w:t>
      </w:r>
      <w:r w:rsidR="00AB2934">
        <w:rPr>
          <w:rStyle w:val="b2eff"/>
          <w:rFonts w:eastAsia="Calibri"/>
        </w:rPr>
        <w:t xml:space="preserve"> in other jurisdictions</w:t>
      </w:r>
      <w:r w:rsidR="00AE2E2A">
        <w:rPr>
          <w:rStyle w:val="b2eff"/>
          <w:rFonts w:eastAsia="Calibri"/>
        </w:rPr>
        <w:t>.</w:t>
      </w:r>
      <w:r w:rsidR="00C73414">
        <w:rPr>
          <w:rStyle w:val="b2eff"/>
          <w:rFonts w:eastAsia="Calibri"/>
        </w:rPr>
        <w:t>(Speak Up For Women, 2023)</w:t>
      </w:r>
      <w:r w:rsidR="00AE2E2A">
        <w:rPr>
          <w:rStyle w:val="b2eff"/>
          <w:rFonts w:eastAsia="Calibri"/>
        </w:rPr>
        <w:t xml:space="preserve"> A</w:t>
      </w:r>
      <w:r w:rsidR="00A34196">
        <w:rPr>
          <w:rStyle w:val="b2eff"/>
          <w:rFonts w:eastAsia="Calibri"/>
        </w:rPr>
        <w:t xml:space="preserve"> uniform finding is that </w:t>
      </w:r>
      <w:r>
        <w:rPr>
          <w:rStyle w:val="b2eff"/>
          <w:rFonts w:eastAsia="Calibri"/>
        </w:rPr>
        <w:t xml:space="preserve">the </w:t>
      </w:r>
      <w:r w:rsidRPr="00F4099A">
        <w:rPr>
          <w:rFonts w:eastAsiaTheme="majorEastAsia"/>
        </w:rPr>
        <w:t>evidence</w:t>
      </w:r>
      <w:r>
        <w:rPr>
          <w:rStyle w:val="b2eff"/>
          <w:rFonts w:eastAsia="Calibri"/>
        </w:rPr>
        <w:t xml:space="preserve"> </w:t>
      </w:r>
      <w:r w:rsidR="00046E25">
        <w:rPr>
          <w:rStyle w:val="b2eff"/>
          <w:rFonts w:eastAsia="Calibri"/>
        </w:rPr>
        <w:t>for using puberty blocker</w:t>
      </w:r>
      <w:r w:rsidR="00A34196">
        <w:rPr>
          <w:rStyle w:val="b2eff"/>
          <w:rFonts w:eastAsia="Calibri"/>
        </w:rPr>
        <w:t xml:space="preserve"> medication</w:t>
      </w:r>
      <w:r w:rsidR="00046E25">
        <w:rPr>
          <w:rStyle w:val="b2eff"/>
          <w:rFonts w:eastAsia="Calibri"/>
        </w:rPr>
        <w:t xml:space="preserve"> is poor</w:t>
      </w:r>
      <w:r w:rsidR="003625DD">
        <w:rPr>
          <w:rStyle w:val="b2eff"/>
          <w:rFonts w:eastAsia="Calibri"/>
        </w:rPr>
        <w:t>.</w:t>
      </w:r>
      <w:r w:rsidR="00046E25">
        <w:rPr>
          <w:rStyle w:val="b2eff"/>
          <w:rFonts w:eastAsia="Calibri"/>
        </w:rPr>
        <w:t xml:space="preserve"> </w:t>
      </w:r>
      <w:r w:rsidR="00955E97">
        <w:rPr>
          <w:rStyle w:val="b2eff"/>
          <w:rFonts w:eastAsia="Calibri"/>
        </w:rPr>
        <w:fldChar w:fldCharType="begin"/>
      </w:r>
      <w:r w:rsidR="00955E97">
        <w:rPr>
          <w:rStyle w:val="b2eff"/>
          <w:rFonts w:eastAsia="Calibri"/>
        </w:rPr>
        <w:instrText xml:space="preserve"> ADDIN ZOTERO_ITEM CSL_CITATION {"citationID":"sHAoWp9n","properties":{"formattedCitation":"(Cohn, 2023)","plainCitation":"(Cohn, 2023)","noteIndex":0},"citationItems":[{"id":11752,"uris":["http://zotero.org/groups/4882545/items/G9KZNRQC"],"itemData":{"id":11752,"type":"article-journal","abstract":"Letter in response to Gender dysphoria in young people is rising—and so is professional disagreement from a SEGM member. Study outcomes quoted for psychological benefit not holding up with time","container-title":"BMJ","language":"en","source":"www.bmj.com","title":"Rapid response to Gender dysphoria in young people is rising—and so is professional disagreement","URL":"https://www.bmj.com/content/380/bmj.p382/rr-4","author":[{"family":"Cohn","given":"J."}],"accessed":{"date-parts":[["2023",7,19]]},"issued":{"date-parts":[["2023",7,14]]}}}],"schema":"https://github.com/citation-style-language/schema/raw/master/csl-citation.json"} </w:instrText>
      </w:r>
      <w:r w:rsidR="00955E97">
        <w:rPr>
          <w:rStyle w:val="b2eff"/>
          <w:rFonts w:eastAsia="Calibri"/>
        </w:rPr>
        <w:fldChar w:fldCharType="separate"/>
      </w:r>
      <w:r w:rsidR="00955E97" w:rsidRPr="00955E97">
        <w:rPr>
          <w:rFonts w:eastAsia="Calibri" w:cs="Calibri"/>
        </w:rPr>
        <w:t>(Cohn, 2023)</w:t>
      </w:r>
      <w:r w:rsidR="00955E97">
        <w:rPr>
          <w:rStyle w:val="b2eff"/>
          <w:rFonts w:eastAsia="Calibri"/>
        </w:rPr>
        <w:fldChar w:fldCharType="end"/>
      </w:r>
      <w:r w:rsidR="00603329">
        <w:rPr>
          <w:rStyle w:val="b2eff"/>
          <w:rFonts w:eastAsia="Calibri"/>
        </w:rPr>
        <w:t xml:space="preserve"> </w:t>
      </w:r>
      <w:r w:rsidR="00DE4C45">
        <w:rPr>
          <w:rStyle w:val="b2eff"/>
          <w:rFonts w:eastAsia="Calibri"/>
        </w:rPr>
        <w:t>T</w:t>
      </w:r>
      <w:r w:rsidR="00603329">
        <w:rPr>
          <w:rStyle w:val="b2eff"/>
          <w:rFonts w:eastAsia="Calibri"/>
        </w:rPr>
        <w:t>here is a significant international debate</w:t>
      </w:r>
      <w:r w:rsidR="00DE4C45">
        <w:rPr>
          <w:rStyle w:val="b2eff"/>
          <w:rFonts w:eastAsia="Calibri"/>
        </w:rPr>
        <w:t xml:space="preserve"> and contested ideas</w:t>
      </w:r>
      <w:r w:rsidR="00603329">
        <w:rPr>
          <w:rStyle w:val="b2eff"/>
          <w:rFonts w:eastAsia="Calibri"/>
        </w:rPr>
        <w:t>, inc</w:t>
      </w:r>
      <w:r w:rsidR="00D7783A">
        <w:rPr>
          <w:rStyle w:val="b2eff"/>
          <w:rFonts w:eastAsia="Calibri"/>
        </w:rPr>
        <w:t>lu</w:t>
      </w:r>
      <w:r w:rsidR="00603329">
        <w:rPr>
          <w:rStyle w:val="b2eff"/>
          <w:rFonts w:eastAsia="Calibri"/>
        </w:rPr>
        <w:t>ding in Holland where the protocol</w:t>
      </w:r>
      <w:r w:rsidR="0055215A">
        <w:rPr>
          <w:rStyle w:val="b2eff"/>
          <w:rFonts w:eastAsia="Calibri"/>
        </w:rPr>
        <w:t xml:space="preserve"> (internationally recognised as The Dutch Protocol)</w:t>
      </w:r>
      <w:r w:rsidR="00676D5E">
        <w:rPr>
          <w:rStyle w:val="b2eff"/>
          <w:rFonts w:eastAsia="Calibri"/>
        </w:rPr>
        <w:t>, used</w:t>
      </w:r>
      <w:r w:rsidR="009E1EEA">
        <w:rPr>
          <w:rStyle w:val="b2eff"/>
          <w:rFonts w:eastAsia="Calibri"/>
        </w:rPr>
        <w:t xml:space="preserve"> </w:t>
      </w:r>
      <w:r w:rsidR="00845E2E">
        <w:rPr>
          <w:rStyle w:val="b2eff"/>
          <w:rFonts w:eastAsia="Calibri"/>
        </w:rPr>
        <w:t>in an adapted form</w:t>
      </w:r>
      <w:r w:rsidR="00603329">
        <w:rPr>
          <w:rStyle w:val="b2eff"/>
          <w:rFonts w:eastAsia="Calibri"/>
        </w:rPr>
        <w:t xml:space="preserve"> in New Zealand</w:t>
      </w:r>
      <w:r w:rsidR="00676D5E">
        <w:rPr>
          <w:rStyle w:val="b2eff"/>
          <w:rFonts w:eastAsia="Calibri"/>
        </w:rPr>
        <w:t>,</w:t>
      </w:r>
      <w:r w:rsidR="002E34DC">
        <w:rPr>
          <w:rStyle w:val="b2eff"/>
          <w:rFonts w:eastAsia="Calibri"/>
        </w:rPr>
        <w:t xml:space="preserve"> </w:t>
      </w:r>
      <w:r w:rsidR="00603329">
        <w:rPr>
          <w:rStyle w:val="b2eff"/>
          <w:rFonts w:eastAsia="Calibri"/>
        </w:rPr>
        <w:t>originated</w:t>
      </w:r>
      <w:r w:rsidR="0097055A">
        <w:rPr>
          <w:rStyle w:val="b2eff"/>
          <w:rFonts w:eastAsia="Calibri"/>
        </w:rPr>
        <w:t xml:space="preserve">. </w:t>
      </w:r>
      <w:r w:rsidR="004E7305">
        <w:rPr>
          <w:rStyle w:val="b2eff"/>
          <w:rFonts w:eastAsia="Calibri"/>
        </w:rPr>
        <w:t>The Dutch Protocol</w:t>
      </w:r>
      <w:r w:rsidR="006262EB">
        <w:rPr>
          <w:rStyle w:val="b2eff"/>
          <w:rFonts w:eastAsia="Calibri"/>
        </w:rPr>
        <w:t xml:space="preserve"> starts</w:t>
      </w:r>
      <w:r w:rsidR="00A325C7">
        <w:rPr>
          <w:rStyle w:val="b2eff"/>
          <w:rFonts w:eastAsia="Calibri"/>
        </w:rPr>
        <w:t xml:space="preserve"> </w:t>
      </w:r>
      <w:r w:rsidR="004E7305">
        <w:rPr>
          <w:rStyle w:val="b2eff"/>
          <w:rFonts w:eastAsia="Calibri"/>
        </w:rPr>
        <w:t>w</w:t>
      </w:r>
      <w:r w:rsidR="006262EB">
        <w:rPr>
          <w:rStyle w:val="b2eff"/>
          <w:rFonts w:eastAsia="Calibri"/>
        </w:rPr>
        <w:t>ith</w:t>
      </w:r>
      <w:r w:rsidR="00A325C7">
        <w:rPr>
          <w:rStyle w:val="b2eff"/>
          <w:rFonts w:eastAsia="Calibri"/>
        </w:rPr>
        <w:t xml:space="preserve"> early social transition</w:t>
      </w:r>
      <w:r w:rsidR="00D06775">
        <w:rPr>
          <w:rStyle w:val="b2eff"/>
          <w:rFonts w:eastAsia="Calibri"/>
        </w:rPr>
        <w:t xml:space="preserve"> for pre-pubertal children</w:t>
      </w:r>
      <w:r w:rsidR="008F42FE">
        <w:rPr>
          <w:rStyle w:val="b2eff"/>
          <w:rFonts w:eastAsia="Calibri"/>
        </w:rPr>
        <w:t xml:space="preserve">, </w:t>
      </w:r>
      <w:r w:rsidR="004E7305">
        <w:rPr>
          <w:rStyle w:val="b2eff"/>
          <w:rFonts w:eastAsia="Calibri"/>
        </w:rPr>
        <w:t xml:space="preserve">followed by </w:t>
      </w:r>
      <w:r w:rsidR="008F42FE">
        <w:rPr>
          <w:rStyle w:val="b2eff"/>
          <w:rFonts w:eastAsia="Calibri"/>
        </w:rPr>
        <w:t>puberty b</w:t>
      </w:r>
      <w:r w:rsidR="008D6C45">
        <w:rPr>
          <w:rStyle w:val="b2eff"/>
          <w:rFonts w:eastAsia="Calibri"/>
        </w:rPr>
        <w:t>l</w:t>
      </w:r>
      <w:r w:rsidR="008F42FE">
        <w:rPr>
          <w:rStyle w:val="b2eff"/>
          <w:rFonts w:eastAsia="Calibri"/>
        </w:rPr>
        <w:t xml:space="preserve">ockers </w:t>
      </w:r>
      <w:r w:rsidR="004E7305">
        <w:rPr>
          <w:rStyle w:val="b2eff"/>
          <w:rFonts w:eastAsia="Calibri"/>
        </w:rPr>
        <w:t>and proceeds to</w:t>
      </w:r>
      <w:r w:rsidR="008F42FE">
        <w:rPr>
          <w:rStyle w:val="b2eff"/>
          <w:rFonts w:eastAsia="Calibri"/>
        </w:rPr>
        <w:t xml:space="preserve"> cross sex hormones </w:t>
      </w:r>
      <w:r w:rsidR="00763DE7">
        <w:rPr>
          <w:rStyle w:val="b2eff"/>
          <w:rFonts w:eastAsia="Calibri"/>
        </w:rPr>
        <w:t>and surgery</w:t>
      </w:r>
      <w:r w:rsidR="00603329">
        <w:rPr>
          <w:rStyle w:val="b2eff"/>
          <w:rFonts w:eastAsia="Calibri"/>
        </w:rPr>
        <w:t>.</w:t>
      </w:r>
      <w:r w:rsidR="00525BBE">
        <w:rPr>
          <w:rStyle w:val="b2eff"/>
          <w:rFonts w:eastAsia="Calibri"/>
        </w:rPr>
        <w:fldChar w:fldCharType="begin"/>
      </w:r>
      <w:r w:rsidR="00525BBE">
        <w:rPr>
          <w:rStyle w:val="b2eff"/>
          <w:rFonts w:eastAsia="Calibri"/>
        </w:rPr>
        <w:instrText xml:space="preserve"> ADDIN ZOTERO_ITEM CSL_CITATION {"citationID":"5gtNM2VW","properties":{"formattedCitation":"(Klotz, 2023)","plainCitation":"(Klotz, 2023)","noteIndex":0},"citationItems":[{"id":11589,"uris":["http://zotero.org/groups/4882545/items/TPZQ5ETV"],"itemData":{"id":11589,"type":"webpage","abstract":"Doubts have now come to the Netherlands, where the most-contested interventions for children and adolescents were developed.","container-title":"The Atlantic","language":"en","note":"section: Health","title":"A Teen Gender-Care Debate Is Spreading Across Europe","URL":"https://www.theatlantic.com/health/archive/2023/04/gender-affirming-care-debate-europe-dutch-protocol/673890/","author":[{"family":"Klotz","given":"Frieda"}],"accessed":{"date-parts":[["2023",6,27]]},"issued":{"date-parts":[["2023",4,28]]}}}],"schema":"https://github.com/citation-style-language/schema/raw/master/csl-citation.json"} </w:instrText>
      </w:r>
      <w:r w:rsidR="00525BBE">
        <w:rPr>
          <w:rStyle w:val="b2eff"/>
          <w:rFonts w:eastAsia="Calibri"/>
        </w:rPr>
        <w:fldChar w:fldCharType="separate"/>
      </w:r>
      <w:r w:rsidR="00525BBE" w:rsidRPr="00525BBE">
        <w:rPr>
          <w:rFonts w:eastAsia="Calibri" w:cs="Calibri"/>
        </w:rPr>
        <w:t>(Klotz, 2023)</w:t>
      </w:r>
      <w:r w:rsidR="00525BBE">
        <w:rPr>
          <w:rStyle w:val="b2eff"/>
          <w:rFonts w:eastAsia="Calibri"/>
        </w:rPr>
        <w:fldChar w:fldCharType="end"/>
      </w:r>
      <w:r>
        <w:rPr>
          <w:rStyle w:val="b2eff"/>
          <w:rFonts w:eastAsia="Calibri"/>
        </w:rPr>
        <w:t>.</w:t>
      </w:r>
      <w:r>
        <w:rPr>
          <w:lang w:val="mi-NZ"/>
        </w:rPr>
        <w:t xml:space="preserve"> </w:t>
      </w:r>
      <w:r>
        <w:rPr>
          <w:rStyle w:val="b2eff"/>
          <w:rFonts w:eastAsia="Calibri"/>
        </w:rPr>
        <w:t>Th</w:t>
      </w:r>
      <w:r w:rsidR="00D7783A">
        <w:rPr>
          <w:rStyle w:val="b2eff"/>
          <w:rFonts w:eastAsia="Calibri"/>
        </w:rPr>
        <w:t xml:space="preserve">e reviews </w:t>
      </w:r>
      <w:r>
        <w:rPr>
          <w:rStyle w:val="b2eff"/>
          <w:rFonts w:eastAsia="Calibri"/>
        </w:rPr>
        <w:t xml:space="preserve">in the UK by </w:t>
      </w:r>
      <w:r w:rsidRPr="00046E25">
        <w:rPr>
          <w:rFonts w:eastAsiaTheme="majorEastAsia"/>
        </w:rPr>
        <w:t>NICE</w:t>
      </w:r>
      <w:r w:rsidR="00046E25">
        <w:rPr>
          <w:rStyle w:val="Hyperlink"/>
          <w:rFonts w:eastAsiaTheme="majorEastAsia"/>
        </w:rPr>
        <w:t xml:space="preserve"> </w:t>
      </w:r>
      <w:r>
        <w:rPr>
          <w:rStyle w:val="b2eff"/>
          <w:rFonts w:eastAsia="Calibri"/>
        </w:rPr>
        <w:fldChar w:fldCharType="begin"/>
      </w:r>
      <w:r>
        <w:rPr>
          <w:rStyle w:val="b2eff"/>
          <w:rFonts w:eastAsia="Calibri"/>
        </w:rPr>
        <w:instrText xml:space="preserve"> ADDIN ZOTERO_ITEM CSL_CITATION {"citationID":"rnUGVVQJ","properties":{"formattedCitation":"(National Institute for Health and Care Excellence, 2020)","plainCitation":"(National Institute for Health and Care Excellence, 2020)","noteIndex":0},"citationItems":[{"id":8174,"uris":["http://zotero.org/groups/4882545/items/FY3PLWNG"],"itemData":{"id":8174,"type":"report","language":"en","publisher":"National Institute for Health and Care Excellence","title":"Nice Evidence Reviews – Cass Review","URL":"https://cass.independent-review.uk/nice-evidence-reviews/","author":[{"family":"National Institute for Health and Care Excellence","given":""}],"accessed":{"date-parts":[["2022",11,22]]},"issued":{"date-parts":[["2020"]]}}}],"schema":"https://github.com/citation-style-language/schema/raw/master/csl-citation.json"} </w:instrText>
      </w:r>
      <w:r>
        <w:rPr>
          <w:rStyle w:val="b2eff"/>
          <w:rFonts w:eastAsia="Calibri"/>
        </w:rPr>
        <w:fldChar w:fldCharType="separate"/>
      </w:r>
      <w:r w:rsidRPr="00277438">
        <w:rPr>
          <w:rFonts w:eastAsia="Calibri" w:cs="Calibri"/>
        </w:rPr>
        <w:t>(National Institute for Health and Care Excellence, 2020)</w:t>
      </w:r>
      <w:r>
        <w:rPr>
          <w:rStyle w:val="b2eff"/>
          <w:rFonts w:eastAsia="Calibri"/>
        </w:rPr>
        <w:fldChar w:fldCharType="end"/>
      </w:r>
      <w:r>
        <w:rPr>
          <w:rStyle w:val="b2eff"/>
          <w:rFonts w:eastAsia="Calibri"/>
        </w:rPr>
        <w:t xml:space="preserve"> and </w:t>
      </w:r>
      <w:r w:rsidRPr="00046E25">
        <w:rPr>
          <w:rFonts w:eastAsiaTheme="majorEastAsia"/>
        </w:rPr>
        <w:t>Oxford University</w:t>
      </w:r>
      <w:r>
        <w:rPr>
          <w:rStyle w:val="b2eff"/>
          <w:rFonts w:eastAsia="Calibri"/>
        </w:rPr>
        <w:t xml:space="preserve">, </w:t>
      </w:r>
      <w:r>
        <w:rPr>
          <w:rStyle w:val="b2eff"/>
          <w:rFonts w:eastAsia="Calibri"/>
        </w:rPr>
        <w:fldChar w:fldCharType="begin"/>
      </w:r>
      <w:r>
        <w:rPr>
          <w:rStyle w:val="b2eff"/>
          <w:rFonts w:eastAsia="Calibri"/>
        </w:rPr>
        <w:instrText xml:space="preserve"> ADDIN ZOTERO_ITEM CSL_CITATION {"citationID":"XdJqGpGG","properties":{"formattedCitation":"(Heneghan, 2019)","plainCitation":"(Heneghan, 2019)","noteIndex":0},"citationItems":[{"id":8052,"uris":["http://zotero.org/groups/4882545/items/ALZG6ZEY"],"itemData":{"id":8052,"type":"article-journal","abstract":"Amongst the article's conclusions: “An Archive of Diseases in Childhood letter referred to GnRHa treatment as a momentous step in the dark.\nIt set out three main concerns:\n1) young people are left in a state of ‘developmental limbo’ without secondary sexual characteristics that might consolidate gender identity;\n2) use is likely to threaten the maturation of the adolescent mind, and\n3) puberty blockers are being used in the context of profound scientific ignorance”Introduction: Gender dysphoria occurs when a person experiences discomfort or distress because of a mismatch between their biological sex and gender identity.  Gender dysphoria can arise in childhood and adolescent which raises many questions about how best to handle the condition. This post sets out some of  the current evidence for gender-affirming hormones in adolescents.","container-title":"BMJ EBM Spotlight","language":"en-GB","title":"Gender-affirming hormone in children and adolescents","URL":"https://blogs.bmj.com/bmjebmspotlight/2019/02/25/gender-affirming-hormone-in-children-and-adolescents-evidence-review/","author":[{"family":"Heneghan","given":"Carl"}],"accessed":{"date-parts":[["2019",7,9]]},"issued":{"date-parts":[["2019",2,25]]}}}],"schema":"https://github.com/citation-style-language/schema/raw/master/csl-citation.json"} </w:instrText>
      </w:r>
      <w:r>
        <w:rPr>
          <w:rStyle w:val="b2eff"/>
          <w:rFonts w:eastAsia="Calibri"/>
        </w:rPr>
        <w:fldChar w:fldCharType="separate"/>
      </w:r>
      <w:r w:rsidRPr="00EB1D01">
        <w:rPr>
          <w:rFonts w:eastAsia="Calibri" w:cs="Calibri"/>
        </w:rPr>
        <w:t>(Heneghan, 2019)</w:t>
      </w:r>
      <w:r>
        <w:rPr>
          <w:rStyle w:val="b2eff"/>
          <w:rFonts w:eastAsia="Calibri"/>
        </w:rPr>
        <w:fldChar w:fldCharType="end"/>
      </w:r>
      <w:r>
        <w:rPr>
          <w:rStyle w:val="b2eff"/>
          <w:rFonts w:eastAsia="Calibri"/>
        </w:rPr>
        <w:t xml:space="preserve">, </w:t>
      </w:r>
      <w:r w:rsidR="00D06775">
        <w:rPr>
          <w:rStyle w:val="b2eff"/>
          <w:rFonts w:eastAsia="Calibri"/>
        </w:rPr>
        <w:t xml:space="preserve">in </w:t>
      </w:r>
      <w:r w:rsidRPr="006B475B">
        <w:rPr>
          <w:rFonts w:eastAsiaTheme="majorEastAsia"/>
        </w:rPr>
        <w:t>Finland</w:t>
      </w:r>
      <w:r>
        <w:rPr>
          <w:rStyle w:val="b2eff"/>
          <w:rFonts w:eastAsia="Calibri"/>
        </w:rPr>
        <w:t>,</w:t>
      </w:r>
      <w:r w:rsidR="000E4FC2">
        <w:rPr>
          <w:rStyle w:val="b2eff"/>
          <w:rFonts w:eastAsia="Calibri"/>
        </w:rPr>
        <w:t xml:space="preserve"> </w:t>
      </w:r>
      <w:r w:rsidR="000E4FC2">
        <w:rPr>
          <w:rStyle w:val="b2eff"/>
          <w:rFonts w:eastAsia="Calibri"/>
        </w:rPr>
        <w:fldChar w:fldCharType="begin"/>
      </w:r>
      <w:r w:rsidR="000E4FC2">
        <w:rPr>
          <w:rStyle w:val="b2eff"/>
          <w:rFonts w:eastAsia="Calibri"/>
        </w:rPr>
        <w:instrText xml:space="preserve"> ADDIN ZOTERO_ITEM CSL_CITATION {"citationID":"2rpkcMSb","properties":{"formattedCitation":"(COHERE, 2020)","plainCitation":"(COHERE, 2020)","noteIndex":0},"citationItems":[{"id":11845,"uris":["http://zotero.org/groups/4882545/items/2ASMCCZ5"],"itemData":{"id":11845,"type":"report","abstract":"Finland","publisher":"Council for Choices in Health Care in Finland (COHERE Finland) ad","title":"Medical treatment methods for dysphoria associated with variations in gender identity in minors – recommendation","URL":"https://palveluvalikoima.fi/documents/1237350/22895008/Summary_minors_en+(1).pdf/fa2054c5-8c35-8492-59d6-b3de1c00de49/Summary_minors_en+(1).pdf?t=1631773838474","author":[{"family":"COHERE","given":""}],"issued":{"date-parts":[["2020",6,11]]}}}],"schema":"https://github.com/citation-style-language/schema/raw/master/csl-citation.json"} </w:instrText>
      </w:r>
      <w:r w:rsidR="000E4FC2">
        <w:rPr>
          <w:rStyle w:val="b2eff"/>
          <w:rFonts w:eastAsia="Calibri"/>
        </w:rPr>
        <w:fldChar w:fldCharType="separate"/>
      </w:r>
      <w:r w:rsidR="000E4FC2" w:rsidRPr="000E4FC2">
        <w:rPr>
          <w:rFonts w:eastAsia="Calibri" w:cs="Calibri"/>
        </w:rPr>
        <w:t>(COHERE, 2020)</w:t>
      </w:r>
      <w:r w:rsidR="000E4FC2">
        <w:rPr>
          <w:rStyle w:val="b2eff"/>
          <w:rFonts w:eastAsia="Calibri"/>
        </w:rPr>
        <w:fldChar w:fldCharType="end"/>
      </w:r>
      <w:r>
        <w:rPr>
          <w:rStyle w:val="b2eff"/>
          <w:rFonts w:eastAsia="Calibri"/>
        </w:rPr>
        <w:t xml:space="preserve"> </w:t>
      </w:r>
      <w:r w:rsidR="00011BF2">
        <w:rPr>
          <w:rStyle w:val="b2eff"/>
          <w:rFonts w:eastAsia="Calibri"/>
        </w:rPr>
        <w:t xml:space="preserve">and </w:t>
      </w:r>
      <w:r w:rsidRPr="006B475B">
        <w:rPr>
          <w:rFonts w:eastAsiaTheme="majorEastAsia"/>
        </w:rPr>
        <w:t>Sweden,</w:t>
      </w:r>
      <w:r>
        <w:rPr>
          <w:rStyle w:val="b2eff"/>
          <w:rFonts w:eastAsia="Calibri"/>
        </w:rPr>
        <w:fldChar w:fldCharType="begin"/>
      </w:r>
      <w:r>
        <w:rPr>
          <w:rStyle w:val="b2eff"/>
          <w:rFonts w:eastAsia="Calibri"/>
        </w:rPr>
        <w:instrText xml:space="preserve"> ADDIN ZOTERO_ITEM CSL_CITATION {"citationID":"11x2qed3","properties":{"formattedCitation":"(Canadian Gender Report, 2020)","plainCitation":"(Canadian Gender Report, 2020)","noteIndex":0},"citationItems":[{"id":7905,"uris":["http://zotero.org/groups/4882545/items/TMG6WB7S"],"itemData":{"id":7905,"type":"report","abstract":"Sweden has officially ended the practice of prescribing puberty blockers and cross-sex hormones for minors under age 18. They have recognized the experimental nature of treating minors with puberty blockers and hormones and have established new protocols that deviate significantly from WPATH and the “professional associations” that the Canadian government and healthcare authorities are listening to. You can access the official documents and read more at the summary published by the Society for Evidence-based Gender Medicine. \nSweden calls for a review of clinical guidelines and a review of the evidence behind gender-affirming care.","language":"en-US","title":"The Swedish U-Turn on Gender Transitioning for Children","URL":"https://genderreport.ca/the-swedish-u-turn-on-gender-transitioning/","author":[{"literal":"Canadian Gender Report"}],"accessed":{"date-parts":[["2021",4,14]]},"issued":{"date-parts":[["2020",11,12]]}}}],"schema":"https://github.com/citation-style-language/schema/raw/master/csl-citation.json"} </w:instrText>
      </w:r>
      <w:r>
        <w:rPr>
          <w:rStyle w:val="b2eff"/>
          <w:rFonts w:eastAsia="Calibri"/>
        </w:rPr>
        <w:fldChar w:fldCharType="separate"/>
      </w:r>
      <w:r w:rsidRPr="00850368">
        <w:rPr>
          <w:rFonts w:eastAsia="Calibri" w:cs="Calibri"/>
        </w:rPr>
        <w:t>(Canadian Gender Report, 2020)</w:t>
      </w:r>
      <w:r>
        <w:rPr>
          <w:rStyle w:val="b2eff"/>
          <w:rFonts w:eastAsia="Calibri"/>
        </w:rPr>
        <w:fldChar w:fldCharType="end"/>
      </w:r>
      <w:r>
        <w:rPr>
          <w:rStyle w:val="b2eff"/>
          <w:rFonts w:eastAsia="Calibri"/>
        </w:rPr>
        <w:t xml:space="preserve"> </w:t>
      </w:r>
      <w:r w:rsidR="00011BF2">
        <w:rPr>
          <w:rStyle w:val="b2eff"/>
          <w:rFonts w:eastAsia="Calibri"/>
        </w:rPr>
        <w:t xml:space="preserve">have all </w:t>
      </w:r>
      <w:r w:rsidR="007B5EE4">
        <w:rPr>
          <w:rStyle w:val="b2eff"/>
          <w:rFonts w:eastAsia="Calibri"/>
        </w:rPr>
        <w:t xml:space="preserve">led to the adoption of </w:t>
      </w:r>
      <w:r w:rsidR="001310D3">
        <w:rPr>
          <w:rStyle w:val="b2eff"/>
          <w:rFonts w:eastAsia="Calibri"/>
        </w:rPr>
        <w:t xml:space="preserve">health models that address gender distress </w:t>
      </w:r>
      <w:r w:rsidR="006D3D8A">
        <w:rPr>
          <w:rStyle w:val="b2eff"/>
          <w:rFonts w:eastAsia="Calibri"/>
        </w:rPr>
        <w:t xml:space="preserve">through psychological exploration and without </w:t>
      </w:r>
      <w:r w:rsidR="001310D3">
        <w:rPr>
          <w:rStyle w:val="b2eff"/>
          <w:rFonts w:eastAsia="Calibri"/>
        </w:rPr>
        <w:t>assuming that it</w:t>
      </w:r>
      <w:r w:rsidR="006D3D8A">
        <w:rPr>
          <w:rStyle w:val="b2eff"/>
          <w:rFonts w:eastAsia="Calibri"/>
        </w:rPr>
        <w:t xml:space="preserve"> equates to </w:t>
      </w:r>
      <w:r w:rsidR="001310D3">
        <w:rPr>
          <w:rStyle w:val="b2eff"/>
          <w:rFonts w:eastAsia="Calibri"/>
        </w:rPr>
        <w:t xml:space="preserve">a transgender diagnosis. </w:t>
      </w:r>
      <w:r w:rsidR="002062D7">
        <w:rPr>
          <w:rStyle w:val="b2eff"/>
          <w:rFonts w:eastAsia="Calibri"/>
        </w:rPr>
        <w:t xml:space="preserve">In other countries </w:t>
      </w:r>
      <w:r w:rsidR="00D12ACD">
        <w:rPr>
          <w:rStyle w:val="b2eff"/>
          <w:rFonts w:eastAsia="Calibri"/>
        </w:rPr>
        <w:t>inc</w:t>
      </w:r>
      <w:r w:rsidR="00B639CF">
        <w:rPr>
          <w:rStyle w:val="b2eff"/>
          <w:rFonts w:eastAsia="Calibri"/>
        </w:rPr>
        <w:t>l</w:t>
      </w:r>
      <w:r w:rsidR="00D12ACD">
        <w:rPr>
          <w:rStyle w:val="b2eff"/>
          <w:rFonts w:eastAsia="Calibri"/>
        </w:rPr>
        <w:t>uding</w:t>
      </w:r>
      <w:r w:rsidR="002062D7">
        <w:rPr>
          <w:rStyle w:val="b2eff"/>
          <w:rFonts w:eastAsia="Calibri"/>
        </w:rPr>
        <w:t xml:space="preserve"> </w:t>
      </w:r>
      <w:r w:rsidR="005D032A">
        <w:rPr>
          <w:rStyle w:val="b2eff"/>
          <w:rFonts w:eastAsia="Calibri"/>
        </w:rPr>
        <w:t xml:space="preserve">France, </w:t>
      </w:r>
      <w:r w:rsidR="005D032A">
        <w:rPr>
          <w:rStyle w:val="b2eff"/>
          <w:rFonts w:eastAsia="Calibri"/>
        </w:rPr>
        <w:fldChar w:fldCharType="begin"/>
      </w:r>
      <w:r w:rsidR="005D032A">
        <w:rPr>
          <w:rStyle w:val="b2eff"/>
          <w:rFonts w:eastAsia="Calibri"/>
        </w:rPr>
        <w:instrText xml:space="preserve"> ADDIN ZOTERO_ITEM CSL_CITATION {"citationID":"4bpPKz8N","properties":{"formattedCitation":"(SEGM, 2022)","plainCitation":"(SEGM, 2022)","noteIndex":0},"citationItems":[{"id":7864,"uris":["http://zotero.org/groups/4882545/items/E88PKFMK"],"itemData":{"id":7864,"type":"webpage","abstract":"The National Academy of Medicine in France has issued a press release in which it cautions medical practitioners that the growing cases of transgender identity in young people are often socially-mediated and that great caution in treatment is needed. The Academy draws attention to the fact that hormonal and surgical treatments carry health risks and have permanent effects, and that it is not possible to distinguish a durable trans identity from a passing phase of an adolescent's development. SEGM has translated the press release, which is provided in full below. Both the original press release in French, and its unofficial SEGM translation are appended. Update: The French National Academy of Medicine provided an official translation of its position, available at this link.   National Academy of Medicine, France Press Release Medical Care of Children and Adolescents with Transgender Identity This press release was adopted by the National Academy of Medicine, France on February 25, 2022, with 59 votes in favor, 20 votes against, and 13 abstaining. It was approved in its revised version by the Administrative Council on February 28, 2022. Transgender identity is a feeling of identifying as a gender different from that assigned at birth, which is persistent and lasts more than 6 months. This experience can cause significant and prolonged distress, which can contribute to an increased risk of suicide [a]. No genetic predisposition has been found. While this condition has been long recognized, a sharp increase in demand for medical interventions has been observed (1,2) first in North America, then in Northern Europe, and, more recently, in France, particularly among children and adolescents. A recent study of a number of high schools in Pittsburgh revealed a prevalence that is clearly higher than previously estimated in the United States (3): 10% of students declared themselves to be transgender or non-binary or were unsure of their gender [b]. In 2003, the Royal Children's Hospital in Melbourne diagnosed only one child with gender dysphoria, whereas today it treats nearly 200. Whatever the mechanisms involved in adolescents - excessive engagement with social media,  greater social acceptability, or influence by those in one’s social circle - this epidemic-like phenomenon manifests itself in the emergence of cases or even clusters of cases in the adolescents’ immediate surroundings (4). This primarily social problem is due, in part, to the questioning of an overly dichotomous view of gender identity by some young people. The demand for medical interventions, due to the distress that this condition (which is not a mental illness per se) causes, leads to a growing supply of care in the form of consultations or care in specialized clinics. This involves many pediatric subspecialties. The psychiatric consultations are utilized first, and if the identity is authentic and the discomfort persists, endocrinology, gynecology and, ultimately, surgery become involved. However, great medical caution must be taken in children and adolescents, given the vulnerability, particularly psychological, of this population and the many undesirable effects and even serious complications that can be caused by some of the therapies available. In this regard, it is important to recall the recent decision (May 2021) of the Karolinska University Hospital in Stockholm to prohibit the use of puberty blockers. If France allows the use of puberty blockers or cross-sex hormones with parental authorization and no age limitations, the greatest caution is needed in their use, taking into account the side-effects such as the impact on growth, bone weakening, risk of sterility, emotional and intellectual consequences and, for girls, menopause-like symptoms. As for surgical treatments, specifically mastectomy, which is allowed in France at the age of 14, and surgeries relating to the external genitalia (vulva, penis), it must be emphasized that these procedures are irreversible.   When medical care is provided for this reason, it is essential to ensure medical and psychological support, first for the affected children and adolescents, but also for their parents, especially since there is no test to distinguish between persisting gender dysphoria and transient adolescent dysphoria. Moreover, the risk of over-diagnosis is real, as evidenced by the growing number of young adults wishing to detransition [c]. It is, therefore, appropriate to extend the phase of psychological care as much as possible. The National Academy of Medicine draws the medical community’s attention to the growing demand for care in the context of transgender identity in children and adolescents, and recommends the following: Children and adolescents expressing a desire to transition, as well as their families, should receive extended psychological support; Should the desire to transition persist, the decision to treat with puberty blockers or cross sex-hormones must be considered carefully and within the framework of multidisciplinary consultations; Medical studies should include clinical information specifically adapted for informing and guiding young people and their families; Continued research into both, clinical and biological, as well as ethical aspects of this matter, still lacking in France, is needed; Parents addressing their children’s questions about transgender identity or associated distress should remain vigilant regarding the addictive role of excessive engagement with social media, which is both harmful to the psychological development of young people and is responsible for a very significant part of the growing sense of gender incongruence. Glossary: a. Gender dysphoria is the medical term used to describe the distress resulting from the incongruence between the experienced gender and the gender assigned at birth (5). b. A non-binary person is a person whose gender identity is neither male nor female. c. A transgender person adopts the appearance and lifestyle of a sex different from that assigned at birth. Whether born a man or a woman, the transgender person modifies, or even rejects, his or her original sexual identity. The sex registered on their official documents  does not match the appearance presented. This does not necessarily involve medical interventions.   References: NHS, The Tavistock and Portman, Referrals to the Gender Identity Development Services (GIDS) for children and adolescents level off in 2018-19, 28 June 2019 (https://tavistockandportman.nhs.uk/about-us/news/stories/referrals-gender-identity-development-service-gids-level-2018-19/ Swedish national health Council, Report on the prevalence of persons diagnosed with gender dysphoria since 1998 among registered citizens of Sweden, 2020, www.socialstyrelsen.se Kidd K.M., Sequeira G.M., Douglas C. et al, Prevalence of gender diverse youth in an urban school district, Pediatrics, 2021, vol 147, issue 6 Littman, L., Parent reports of adolescents and young adults perceived to show signs of a rapid onset of gender dysphoria. PLoS ONE, 2018, 13(8), e0202330. https://doi.org/10.1371/journal.pone. 0202330; Correction: PLoS ONE 2019; 14(3): e0214157. Published online 2019 Mar 19. doi:10.1371/journal.pone.0214157 Martinerie L., Condat A., Bargiacchi A., et al., Management of endocrine disease. Approach to the management of children and adolescents with gender dysphoria, European Journal of Endocrinology, 2018, 179, p. 1219-1237","language":"en","title":"National Academy of Medicine in France Advises Caution in Pediatric Gender Transition","URL":"https://segm.org/France-cautions-regarding-puberty-blockers-and-cross-sex-hormones-for-youth","author":[{"literal":"SEGM"}],"accessed":{"date-parts":[["2022",9,2]]},"issued":{"date-parts":[["2022",9,1]]}}}],"schema":"https://github.com/citation-style-language/schema/raw/master/csl-citation.json"} </w:instrText>
      </w:r>
      <w:r w:rsidR="005D032A">
        <w:rPr>
          <w:rStyle w:val="b2eff"/>
          <w:rFonts w:eastAsia="Calibri"/>
        </w:rPr>
        <w:fldChar w:fldCharType="separate"/>
      </w:r>
      <w:r w:rsidR="005D032A" w:rsidRPr="00A71747">
        <w:rPr>
          <w:rFonts w:eastAsia="Calibri" w:cs="Calibri"/>
        </w:rPr>
        <w:t>(SEGM, 2022)</w:t>
      </w:r>
      <w:r w:rsidR="005D032A">
        <w:rPr>
          <w:rStyle w:val="b2eff"/>
          <w:rFonts w:eastAsia="Calibri"/>
        </w:rPr>
        <w:fldChar w:fldCharType="end"/>
      </w:r>
      <w:r w:rsidR="00060C40">
        <w:rPr>
          <w:rStyle w:val="b2eff"/>
          <w:rFonts w:eastAsia="Calibri"/>
        </w:rPr>
        <w:t>,</w:t>
      </w:r>
      <w:r w:rsidR="005D032A">
        <w:rPr>
          <w:rStyle w:val="b2eff"/>
          <w:rFonts w:eastAsia="Calibri"/>
        </w:rPr>
        <w:t xml:space="preserve"> Ireland</w:t>
      </w:r>
      <w:r w:rsidR="00060C40">
        <w:rPr>
          <w:rStyle w:val="b2eff"/>
          <w:rFonts w:eastAsia="Calibri"/>
        </w:rPr>
        <w:t xml:space="preserve"> </w:t>
      </w:r>
      <w:r w:rsidR="00060C40">
        <w:rPr>
          <w:rStyle w:val="b2eff"/>
          <w:rFonts w:eastAsia="Calibri"/>
        </w:rPr>
        <w:fldChar w:fldCharType="begin"/>
      </w:r>
      <w:r w:rsidR="00060C40">
        <w:rPr>
          <w:rStyle w:val="b2eff"/>
          <w:rFonts w:eastAsia="Calibri"/>
        </w:rPr>
        <w:instrText xml:space="preserve"> ADDIN ZOTERO_ITEM CSL_CITATION {"citationID":"kOfbliv2","properties":{"formattedCitation":"(Coyle, 2021)","plainCitation":"(Coyle, 2021)","noteIndex":0},"citationItems":[{"id":8018,"uris":["http://zotero.org/groups/4882545/items/LR2N4TD6"],"itemData":{"id":8018,"type":"article-newspaper","abstract":"The Irish College of General Practitioners (ICGP) has removed a statement from a guide on transgender health that puberty blockers are a “reversible intervention”. The drugs are used to delay puberty","ISSN":"0140-0460","language":"en","section":"ireland","source":"www.thetimes.co.uk","title":"Irish College of GPs reverses stance on puberty blockers","URL":"https://www.thetimes.co.uk/article/irish-college-of-gps-reverses-stance-on-puberty-blockers-nh7kj6xbm","author":[{"family":"Coyle","given":"Colin"}],"accessed":{"date-parts":[["2021",2,18]]},"issued":{"date-parts":[["2021"]]}}}],"schema":"https://github.com/citation-style-language/schema/raw/master/csl-citation.json"} </w:instrText>
      </w:r>
      <w:r w:rsidR="00060C40">
        <w:rPr>
          <w:rStyle w:val="b2eff"/>
          <w:rFonts w:eastAsia="Calibri"/>
        </w:rPr>
        <w:fldChar w:fldCharType="separate"/>
      </w:r>
      <w:r w:rsidR="00060C40" w:rsidRPr="00060C40">
        <w:rPr>
          <w:rFonts w:eastAsia="Calibri" w:cs="Calibri"/>
        </w:rPr>
        <w:t>(Coyle, 2021)</w:t>
      </w:r>
      <w:r w:rsidR="00060C40">
        <w:rPr>
          <w:rStyle w:val="b2eff"/>
          <w:rFonts w:eastAsia="Calibri"/>
        </w:rPr>
        <w:fldChar w:fldCharType="end"/>
      </w:r>
      <w:r w:rsidR="005D032A">
        <w:rPr>
          <w:rStyle w:val="b2eff"/>
          <w:rFonts w:eastAsia="Calibri"/>
        </w:rPr>
        <w:t xml:space="preserve"> </w:t>
      </w:r>
      <w:r w:rsidR="00927285" w:rsidRPr="00F51A28">
        <w:rPr>
          <w:rFonts w:eastAsiaTheme="majorEastAsia"/>
        </w:rPr>
        <w:t>Australia</w:t>
      </w:r>
      <w:r w:rsidR="00A0694D">
        <w:rPr>
          <w:rStyle w:val="Hyperlink"/>
          <w:rFonts w:eastAsiaTheme="majorEastAsia"/>
        </w:rPr>
        <w:t xml:space="preserve"> </w:t>
      </w:r>
      <w:r w:rsidR="00A0694D">
        <w:rPr>
          <w:rStyle w:val="Hyperlink"/>
          <w:rFonts w:eastAsiaTheme="majorEastAsia"/>
        </w:rPr>
        <w:fldChar w:fldCharType="begin"/>
      </w:r>
      <w:r w:rsidR="00A0694D">
        <w:rPr>
          <w:rStyle w:val="Hyperlink"/>
          <w:rFonts w:eastAsiaTheme="majorEastAsia"/>
        </w:rPr>
        <w:instrText xml:space="preserve"> ADDIN ZOTERO_ITEM CSL_CITATION {"citationID":"hQoXmCLm","properties":{"formattedCitation":"(Morris, 2021)","plainCitation":"(Morris, 2021)","noteIndex":0},"citationItems":[{"id":6458,"uris":["http://zotero.org/groups/4752763/items/4UF57W5C"],"itemData":{"id":6458,"type":"webpage","container-title":"National Association of Practising Psychiatrists","title":"Managing Gender Dysphoria/Incongruence in Young People: A Guide for Health Practitioners","URL":"https://napp.org.au/2021/05/managing-gender-dysphoria-incongruence-in-young-people-a-guide-for-health-practitioners/","author":[{"family":"Morris","given":"Phillip"}],"accessed":{"date-parts":[["2021",9,1]]},"issued":{"date-parts":[["2021"]]}}}],"schema":"https://github.com/citation-style-language/schema/raw/master/csl-citation.json"} </w:instrText>
      </w:r>
      <w:r w:rsidR="00A0694D">
        <w:rPr>
          <w:rStyle w:val="Hyperlink"/>
          <w:rFonts w:eastAsiaTheme="majorEastAsia"/>
        </w:rPr>
        <w:fldChar w:fldCharType="separate"/>
      </w:r>
      <w:r w:rsidR="00A0694D" w:rsidRPr="00A0694D">
        <w:rPr>
          <w:rFonts w:eastAsiaTheme="majorEastAsia" w:cs="Calibri"/>
        </w:rPr>
        <w:t>(Morris, 2021)</w:t>
      </w:r>
      <w:r w:rsidR="00A0694D">
        <w:rPr>
          <w:rStyle w:val="Hyperlink"/>
          <w:rFonts w:eastAsiaTheme="majorEastAsia"/>
        </w:rPr>
        <w:fldChar w:fldCharType="end"/>
      </w:r>
      <w:r w:rsidR="008C0245">
        <w:rPr>
          <w:rStyle w:val="Hyperlink"/>
          <w:rFonts w:eastAsiaTheme="majorEastAsia"/>
        </w:rPr>
        <w:t xml:space="preserve"> </w:t>
      </w:r>
      <w:r w:rsidR="008C0245" w:rsidRPr="008C0245">
        <w:rPr>
          <w:rStyle w:val="b2eff"/>
          <w:rFonts w:eastAsia="Calibri"/>
        </w:rPr>
        <w:t xml:space="preserve">change is being led by </w:t>
      </w:r>
      <w:r w:rsidR="00F51A28">
        <w:rPr>
          <w:rStyle w:val="b2eff"/>
          <w:rFonts w:eastAsia="Calibri"/>
        </w:rPr>
        <w:t>p</w:t>
      </w:r>
      <w:r w:rsidR="008C0245" w:rsidRPr="008C0245">
        <w:rPr>
          <w:rStyle w:val="b2eff"/>
          <w:rFonts w:eastAsia="Calibri"/>
        </w:rPr>
        <w:t>rofessional medical associations</w:t>
      </w:r>
      <w:r w:rsidR="00F51A28">
        <w:rPr>
          <w:rStyle w:val="b2eff"/>
          <w:rFonts w:eastAsia="Calibri"/>
        </w:rPr>
        <w:t>. In</w:t>
      </w:r>
      <w:r w:rsidR="00927285">
        <w:rPr>
          <w:rStyle w:val="Hyperlink"/>
          <w:rFonts w:eastAsiaTheme="majorEastAsia"/>
        </w:rPr>
        <w:t xml:space="preserve"> </w:t>
      </w:r>
      <w:r w:rsidRPr="008C0245">
        <w:rPr>
          <w:rFonts w:eastAsiaTheme="majorEastAsia"/>
        </w:rPr>
        <w:t>Norway</w:t>
      </w:r>
      <w:r>
        <w:rPr>
          <w:rStyle w:val="b2eff"/>
          <w:rFonts w:eastAsia="Calibri"/>
        </w:rPr>
        <w:t xml:space="preserve"> </w:t>
      </w:r>
      <w:r>
        <w:rPr>
          <w:rStyle w:val="b2eff"/>
          <w:rFonts w:eastAsia="Calibri"/>
        </w:rPr>
        <w:fldChar w:fldCharType="begin"/>
      </w:r>
      <w:r w:rsidR="0047419A">
        <w:rPr>
          <w:rStyle w:val="b2eff"/>
          <w:rFonts w:eastAsia="Calibri"/>
        </w:rPr>
        <w:instrText xml:space="preserve"> ADDIN ZOTERO_ITEM CSL_CITATION {"citationID":"mqEpsFso","properties":{"formattedCitation":"(Blaff, 2023)","plainCitation":"(Blaff, 2023)","noteIndex":0},"citationItems":[{"id":11882,"uris":["http://zotero.org/groups/4882545/items/XQFSNK72"],"itemData":{"id":11882,"type":"article-newspaper","abstract":"The knowledge base, especially research-based knowledge for gender-affirming treatment (hormonal and surgical), is deficient, the report states.","container-title":"National Review","language":"en-US","title":"Norwegian Medical Watchdog Encourages Country to Ditch 'Gender-Affirming'Care Guidelines","URL":"https://www.nationalreview.com/news/norwegian-medical-watchdog-encourages-country-to-ditch-gender-affirming-care-guidelines/","author":[{"family":"Blaff","given":"Ari"}],"accessed":{"date-parts":[["2023",8,19]]},"issued":{"date-parts":[["2023",3,10]]}}}],"schema":"https://github.com/citation-style-language/schema/raw/master/csl-citation.json"} </w:instrText>
      </w:r>
      <w:r>
        <w:rPr>
          <w:rStyle w:val="b2eff"/>
          <w:rFonts w:eastAsia="Calibri"/>
        </w:rPr>
        <w:fldChar w:fldCharType="separate"/>
      </w:r>
      <w:r w:rsidR="0047419A" w:rsidRPr="0047419A">
        <w:rPr>
          <w:rFonts w:cs="Calibri"/>
        </w:rPr>
        <w:t>(Blaff, 2023)</w:t>
      </w:r>
      <w:r>
        <w:rPr>
          <w:rStyle w:val="b2eff"/>
          <w:rFonts w:eastAsia="Calibri"/>
        </w:rPr>
        <w:fldChar w:fldCharType="end"/>
      </w:r>
      <w:r>
        <w:rPr>
          <w:rStyle w:val="b2eff"/>
          <w:rFonts w:eastAsia="Calibri"/>
        </w:rPr>
        <w:t xml:space="preserve"> and </w:t>
      </w:r>
      <w:r w:rsidR="002062D7">
        <w:rPr>
          <w:rStyle w:val="b2eff"/>
          <w:rFonts w:eastAsia="Calibri"/>
        </w:rPr>
        <w:t>Denmark</w:t>
      </w:r>
      <w:r w:rsidR="008C0245">
        <w:rPr>
          <w:rStyle w:val="b2eff"/>
          <w:rFonts w:eastAsia="Calibri"/>
        </w:rPr>
        <w:t xml:space="preserve"> </w:t>
      </w:r>
      <w:r w:rsidR="006601B1">
        <w:rPr>
          <w:rStyle w:val="b2eff"/>
          <w:rFonts w:eastAsia="Calibri"/>
        </w:rPr>
        <w:fldChar w:fldCharType="begin"/>
      </w:r>
      <w:r w:rsidR="006601B1">
        <w:rPr>
          <w:rStyle w:val="b2eff"/>
          <w:rFonts w:eastAsia="Calibri"/>
        </w:rPr>
        <w:instrText xml:space="preserve"> ADDIN ZOTERO_ITEM CSL_CITATION {"citationID":"BmewRHiW","properties":{"formattedCitation":"(Lane, 2023a)","plainCitation":"(Lane, 2023a)","noteIndex":0},"citationItems":[{"id":11889,"uris":["http://zotero.org/groups/4882545/items/ZC785HAR"],"itemData":{"id":11889,"type":"webpage","abstract":"Another progressive country is having second thoughts about paediatric gender transition","language":"en","title":"Doubt in Denmark","URL":"https://www.genderclinicnews.com/p/doubt-in-denmark","author":[{"family":"Lane","given":"Bernard"}],"accessed":{"date-parts":[["2023",8,20]]},"issued":{"date-parts":[["2023",5,9]]}}}],"schema":"https://github.com/citation-style-language/schema/raw/master/csl-citation.json"} </w:instrText>
      </w:r>
      <w:r w:rsidR="006601B1">
        <w:rPr>
          <w:rStyle w:val="b2eff"/>
          <w:rFonts w:eastAsia="Calibri"/>
        </w:rPr>
        <w:fldChar w:fldCharType="separate"/>
      </w:r>
      <w:r w:rsidR="006601B1" w:rsidRPr="006601B1">
        <w:rPr>
          <w:rFonts w:eastAsia="Calibri" w:cs="Calibri"/>
        </w:rPr>
        <w:t>(Lane, 2023a)</w:t>
      </w:r>
      <w:r w:rsidR="006601B1">
        <w:rPr>
          <w:rStyle w:val="b2eff"/>
          <w:rFonts w:eastAsia="Calibri"/>
        </w:rPr>
        <w:fldChar w:fldCharType="end"/>
      </w:r>
      <w:r w:rsidR="00F51A28">
        <w:rPr>
          <w:rStyle w:val="b2eff"/>
          <w:rFonts w:eastAsia="Calibri"/>
        </w:rPr>
        <w:t xml:space="preserve"> government action is leading change.</w:t>
      </w:r>
      <w:r>
        <w:rPr>
          <w:rStyle w:val="b2eff"/>
          <w:rFonts w:eastAsia="Calibri"/>
        </w:rPr>
        <w:t xml:space="preserve"> </w:t>
      </w:r>
      <w:r w:rsidR="002A56A6">
        <w:rPr>
          <w:lang w:val="mi-NZ"/>
        </w:rPr>
        <w:t>T</w:t>
      </w:r>
      <w:r>
        <w:rPr>
          <w:lang w:val="mi-NZ"/>
        </w:rPr>
        <w:t xml:space="preserve">he American Association of Pediatrics </w:t>
      </w:r>
      <w:r w:rsidR="002A56A6">
        <w:rPr>
          <w:lang w:val="mi-NZ"/>
        </w:rPr>
        <w:t xml:space="preserve">announced recently </w:t>
      </w:r>
      <w:r>
        <w:rPr>
          <w:lang w:val="mi-NZ"/>
        </w:rPr>
        <w:t xml:space="preserve">that it will review its </w:t>
      </w:r>
      <w:r w:rsidR="00F47870">
        <w:rPr>
          <w:lang w:val="mi-NZ"/>
        </w:rPr>
        <w:t>curre</w:t>
      </w:r>
      <w:r w:rsidR="00C7070B">
        <w:rPr>
          <w:lang w:val="mi-NZ"/>
        </w:rPr>
        <w:t>ntly affirmative</w:t>
      </w:r>
      <w:r>
        <w:rPr>
          <w:lang w:val="mi-NZ"/>
        </w:rPr>
        <w:t xml:space="preserve"> guidance based on an evidence-based review </w:t>
      </w:r>
      <w:r>
        <w:rPr>
          <w:lang w:val="mi-NZ"/>
        </w:rPr>
        <w:fldChar w:fldCharType="begin"/>
      </w:r>
      <w:r w:rsidR="006601B1">
        <w:rPr>
          <w:lang w:val="mi-NZ"/>
        </w:rPr>
        <w:instrText xml:space="preserve"> ADDIN ZOTERO_ITEM CSL_CITATION {"citationID":"eKIllzkM","properties":{"formattedCitation":"(Lane, 2023c)","plainCitation":"(Lane, 2023c)","noteIndex":0},"citationItems":[{"id":11829,"uris":["http://zotero.org/groups/4882545/items/CZESYGWN"],"itemData":{"id":11829,"type":"article-newspaper","abstract":"The American Academy of Pediatrics reckons it got gender medicine right the first time, but buckles to pressure for a fresh review of the evidence","container-title":"Gender Clinic News","language":"en","title":"Second opinion","URL":"https://www.genderclinicnews.com/p/second-opinion","author":[{"family":"Lane","given":"Bernard"}],"accessed":{"date-parts":[["2023",8,7]]},"issued":{"date-parts":[["2023",8,6]]}}}],"schema":"https://github.com/citation-style-language/schema/raw/master/csl-citation.json"} </w:instrText>
      </w:r>
      <w:r>
        <w:rPr>
          <w:lang w:val="mi-NZ"/>
        </w:rPr>
        <w:fldChar w:fldCharType="separate"/>
      </w:r>
      <w:r w:rsidR="006601B1" w:rsidRPr="006601B1">
        <w:rPr>
          <w:rFonts w:cs="Calibri"/>
        </w:rPr>
        <w:t>(Lane, 2023c)</w:t>
      </w:r>
      <w:r>
        <w:rPr>
          <w:lang w:val="mi-NZ"/>
        </w:rPr>
        <w:fldChar w:fldCharType="end"/>
      </w:r>
      <w:r w:rsidR="00576242">
        <w:rPr>
          <w:lang w:val="mi-NZ"/>
        </w:rPr>
        <w:t xml:space="preserve"> following an unan</w:t>
      </w:r>
      <w:r w:rsidR="00BB74D2">
        <w:rPr>
          <w:lang w:val="mi-NZ"/>
        </w:rPr>
        <w:t>s</w:t>
      </w:r>
      <w:r w:rsidR="00576242">
        <w:rPr>
          <w:lang w:val="mi-NZ"/>
        </w:rPr>
        <w:t>wered challenge to the ba</w:t>
      </w:r>
      <w:r w:rsidR="007B2DBD">
        <w:rPr>
          <w:lang w:val="mi-NZ"/>
        </w:rPr>
        <w:t xml:space="preserve">sis for their approach </w:t>
      </w:r>
      <w:r w:rsidR="00FA7166">
        <w:rPr>
          <w:lang w:val="mi-NZ"/>
        </w:rPr>
        <w:fldChar w:fldCharType="begin"/>
      </w:r>
      <w:r w:rsidR="00FA7166">
        <w:rPr>
          <w:lang w:val="mi-NZ"/>
        </w:rPr>
        <w:instrText xml:space="preserve"> ADDIN ZOTERO_ITEM CSL_CITATION {"citationID":"P31YLSpT","properties":{"formattedCitation":"(Cantor, 2018)","plainCitation":"(Cantor, 2018)","noteIndex":0},"citationItems":[{"id":7750,"uris":["http://zotero.org/groups/4882545/items/LQ8MSH6W"],"itemData":{"id":7750,"type":"report","abstract":"This post was originally published on Dr. Cantor’s blog Sexology Today. Dr. Cantor is a clinical psychologist and sexual behavior scientist. He has been studying and teahing.  This report takes apart the transgender policy of the AAP.","language":"en-US","license":"xxx","title":"American Academy of Pediatrics policy and trans- kids: Fact-checking","title-short":"American Academy of Pediatrics policy and trans- kids","URL":"https://gdworkinggroup.org/2018/10/18/american-academy-of-pediatrics-policy-and-trans-kids-fact-checking/","author":[{"family":"Cantor","given":"James M."}],"accessed":{"date-parts":[["2021",8,21]]},"issued":{"date-parts":[["2018",10,18]]}}}],"schema":"https://github.com/citation-style-language/schema/raw/master/csl-citation.json"} </w:instrText>
      </w:r>
      <w:r w:rsidR="00FA7166">
        <w:rPr>
          <w:lang w:val="mi-NZ"/>
        </w:rPr>
        <w:fldChar w:fldCharType="separate"/>
      </w:r>
      <w:r w:rsidR="00FA7166" w:rsidRPr="00FA7166">
        <w:rPr>
          <w:rFonts w:cs="Calibri"/>
        </w:rPr>
        <w:t>(Cantor, 2018)</w:t>
      </w:r>
      <w:r w:rsidR="00FA7166">
        <w:rPr>
          <w:lang w:val="mi-NZ"/>
        </w:rPr>
        <w:fldChar w:fldCharType="end"/>
      </w:r>
      <w:r w:rsidR="003D54EF">
        <w:rPr>
          <w:lang w:val="mi-NZ"/>
        </w:rPr>
        <w:t xml:space="preserve"> </w:t>
      </w:r>
      <w:r w:rsidR="001E5F7E">
        <w:rPr>
          <w:lang w:val="mi-NZ"/>
        </w:rPr>
        <w:t xml:space="preserve">and a campaign </w:t>
      </w:r>
      <w:r w:rsidR="00D06775">
        <w:rPr>
          <w:lang w:val="mi-NZ"/>
        </w:rPr>
        <w:t xml:space="preserve">by some members </w:t>
      </w:r>
      <w:r w:rsidR="000409F1">
        <w:rPr>
          <w:lang w:val="mi-NZ"/>
        </w:rPr>
        <w:t>demanding</w:t>
      </w:r>
      <w:r w:rsidR="001E5F7E">
        <w:rPr>
          <w:lang w:val="mi-NZ"/>
        </w:rPr>
        <w:t xml:space="preserve"> a review. </w:t>
      </w:r>
      <w:r w:rsidR="00CA2D4D">
        <w:rPr>
          <w:lang w:val="mi-NZ"/>
        </w:rPr>
        <w:fldChar w:fldCharType="begin"/>
      </w:r>
      <w:r w:rsidR="00CA2D4D">
        <w:rPr>
          <w:lang w:val="mi-NZ"/>
        </w:rPr>
        <w:instrText xml:space="preserve"> ADDIN ZOTERO_ITEM CSL_CITATION {"citationID":"5Mt3jbx5","properties":{"formattedCitation":"(Nainggolan &amp; Ault, 2022)","plainCitation":"(Nainggolan &amp; Ault, 2022)","noteIndex":0},"citationItems":[{"id":2584,"uris":["http://zotero.org/groups/2320358/items/43M56YEV"],"itemData":{"id":2584,"type":"article-journal","abstract":"A row has broken out between the American Academy of Pediatrics and some of its members over what the latter see as the organization's refusal to discuss its 2018 policy statement on care for gender-diverse minors. Some members of the American Academy of Pediatrics (AAP) say its association leadership is blocking discussion about a resolution asking for a \"rigorous systematic review\" of gender-affirming care guidelines.\n\nAt issue is 2018 guidance that states children can undergo hormonal therapy after they are deemed appropriate candidates following a thorough mental health evaluation.","container-title":"Medscape Medical News","language":"en","title":"Pediatricians at Odds Over Gender-Affirming Care for Trans Kids","URL":"https://www.medscape.com/viewarticle/979262","author":[{"family":"Nainggolan","given":"Lisa"},{"family":"Ault","given":"Alicia"}],"accessed":{"date-parts":[["2022",9,10]]},"issued":{"date-parts":[["2022",8,16]]}}}],"schema":"https://github.com/citation-style-language/schema/raw/master/csl-citation.json"} </w:instrText>
      </w:r>
      <w:r w:rsidR="00CA2D4D">
        <w:rPr>
          <w:lang w:val="mi-NZ"/>
        </w:rPr>
        <w:fldChar w:fldCharType="separate"/>
      </w:r>
      <w:r w:rsidR="00CA2D4D" w:rsidRPr="00CA2D4D">
        <w:rPr>
          <w:rFonts w:cs="Calibri"/>
        </w:rPr>
        <w:t>(Nainggolan &amp; Ault, 2022)</w:t>
      </w:r>
      <w:r w:rsidR="00CA2D4D">
        <w:rPr>
          <w:lang w:val="mi-NZ"/>
        </w:rPr>
        <w:fldChar w:fldCharType="end"/>
      </w:r>
      <w:r w:rsidR="003D54EF">
        <w:rPr>
          <w:lang w:val="mi-NZ"/>
        </w:rPr>
        <w:t xml:space="preserve"> Other </w:t>
      </w:r>
      <w:r w:rsidR="007B2DBD">
        <w:rPr>
          <w:lang w:val="mi-NZ"/>
        </w:rPr>
        <w:t xml:space="preserve">professional associations have had strong and credible challenges made against their </w:t>
      </w:r>
      <w:r w:rsidR="00755C10">
        <w:rPr>
          <w:lang w:val="mi-NZ"/>
        </w:rPr>
        <w:t xml:space="preserve">gender medicine </w:t>
      </w:r>
      <w:r w:rsidR="00901CAE">
        <w:rPr>
          <w:lang w:val="mi-NZ"/>
        </w:rPr>
        <w:t>approaches</w:t>
      </w:r>
      <w:r w:rsidR="00642E31">
        <w:rPr>
          <w:lang w:val="mi-NZ"/>
        </w:rPr>
        <w:t>.</w:t>
      </w:r>
      <w:r w:rsidR="00755C10">
        <w:rPr>
          <w:lang w:val="mi-NZ"/>
        </w:rPr>
        <w:fldChar w:fldCharType="begin"/>
      </w:r>
      <w:r w:rsidR="0043504E">
        <w:rPr>
          <w:lang w:val="mi-NZ"/>
        </w:rPr>
        <w:instrText xml:space="preserve"> ADDIN ZOTERO_ITEM CSL_CITATION {"citationID":"7umCq4Hi","properties":{"formattedCitation":"(Rivers, 2023)","plainCitation":"(Rivers, 2023)","noteIndex":0},"citationItems":[{"id":11901,"uris":["http://zotero.org/groups/4882545/items/9MSLBJ6D"],"itemData":{"id":11901,"type":"report","abstract":"AAP, WPATH, Endocrinologists","title":"Professional Associations with gender care standards and their rebuttals","URL":"https://www.publicgood.org.nz/wp/wp-content/uploads/2023/08/table-claims-refuted.pdf","author":[{"family":"Rivers","given":"Jan"}],"issued":{"date-parts":[["2023"]]}}}],"schema":"https://github.com/citation-style-language/schema/raw/master/csl-citation.json"} </w:instrText>
      </w:r>
      <w:r w:rsidR="00755C10">
        <w:rPr>
          <w:lang w:val="mi-NZ"/>
        </w:rPr>
        <w:fldChar w:fldCharType="separate"/>
      </w:r>
      <w:r w:rsidR="0043504E" w:rsidRPr="0043504E">
        <w:rPr>
          <w:rFonts w:cs="Calibri"/>
        </w:rPr>
        <w:t>(Rivers, 2023)</w:t>
      </w:r>
      <w:r w:rsidR="00755C10">
        <w:rPr>
          <w:lang w:val="mi-NZ"/>
        </w:rPr>
        <w:fldChar w:fldCharType="end"/>
      </w:r>
      <w:r>
        <w:rPr>
          <w:lang w:val="mi-NZ"/>
        </w:rPr>
        <w:t xml:space="preserve"> </w:t>
      </w:r>
      <w:r w:rsidR="004026A1">
        <w:rPr>
          <w:lang w:val="mi-NZ"/>
        </w:rPr>
        <w:t xml:space="preserve"> There </w:t>
      </w:r>
      <w:r w:rsidR="003010C8">
        <w:rPr>
          <w:lang w:val="mi-NZ"/>
        </w:rPr>
        <w:t xml:space="preserve">have </w:t>
      </w:r>
      <w:r w:rsidR="003D54EF">
        <w:rPr>
          <w:lang w:val="mi-NZ"/>
        </w:rPr>
        <w:t xml:space="preserve">also </w:t>
      </w:r>
      <w:r w:rsidR="003010C8">
        <w:rPr>
          <w:lang w:val="mi-NZ"/>
        </w:rPr>
        <w:t xml:space="preserve">been </w:t>
      </w:r>
      <w:r w:rsidR="003D54EF">
        <w:rPr>
          <w:lang w:val="mi-NZ"/>
        </w:rPr>
        <w:t xml:space="preserve">serious rebuttals </w:t>
      </w:r>
      <w:r w:rsidR="003010C8">
        <w:rPr>
          <w:lang w:val="mi-NZ"/>
        </w:rPr>
        <w:t>to</w:t>
      </w:r>
      <w:r w:rsidR="0055215A">
        <w:rPr>
          <w:lang w:val="mi-NZ"/>
        </w:rPr>
        <w:t>,</w:t>
      </w:r>
      <w:r w:rsidR="003010C8">
        <w:rPr>
          <w:lang w:val="mi-NZ"/>
        </w:rPr>
        <w:t xml:space="preserve"> and </w:t>
      </w:r>
      <w:r w:rsidR="00CC3D3A">
        <w:rPr>
          <w:lang w:val="mi-NZ"/>
        </w:rPr>
        <w:t xml:space="preserve">the </w:t>
      </w:r>
      <w:r w:rsidR="003010C8">
        <w:rPr>
          <w:lang w:val="mi-NZ"/>
        </w:rPr>
        <w:t>reinterpretation of</w:t>
      </w:r>
      <w:r w:rsidR="0055215A">
        <w:rPr>
          <w:lang w:val="mi-NZ"/>
        </w:rPr>
        <w:t>,</w:t>
      </w:r>
      <w:r w:rsidR="00A903DE">
        <w:rPr>
          <w:lang w:val="mi-NZ"/>
        </w:rPr>
        <w:t xml:space="preserve"> </w:t>
      </w:r>
      <w:r w:rsidR="005D65C9">
        <w:rPr>
          <w:lang w:val="mi-NZ"/>
        </w:rPr>
        <w:t>significant r</w:t>
      </w:r>
      <w:r w:rsidR="00A903DE">
        <w:rPr>
          <w:lang w:val="mi-NZ"/>
        </w:rPr>
        <w:t>esearch</w:t>
      </w:r>
      <w:r w:rsidR="00131BF1">
        <w:rPr>
          <w:lang w:val="mi-NZ"/>
        </w:rPr>
        <w:t xml:space="preserve"> in the field of </w:t>
      </w:r>
      <w:r w:rsidR="006D2268" w:rsidRPr="00F240CF">
        <w:rPr>
          <w:lang w:val="mi-NZ"/>
        </w:rPr>
        <w:t>affirmative</w:t>
      </w:r>
      <w:r w:rsidR="006D2268">
        <w:rPr>
          <w:lang w:val="mi-NZ"/>
        </w:rPr>
        <w:t xml:space="preserve"> approaches to </w:t>
      </w:r>
      <w:r w:rsidR="00131BF1">
        <w:rPr>
          <w:lang w:val="mi-NZ"/>
        </w:rPr>
        <w:t xml:space="preserve">transgender </w:t>
      </w:r>
      <w:r w:rsidR="006D2268">
        <w:rPr>
          <w:lang w:val="mi-NZ"/>
        </w:rPr>
        <w:t>medicine.</w:t>
      </w:r>
      <w:r w:rsidR="0019706E">
        <w:rPr>
          <w:lang w:val="mi-NZ"/>
        </w:rPr>
        <w:fldChar w:fldCharType="begin"/>
      </w:r>
      <w:r w:rsidR="0019706E">
        <w:rPr>
          <w:lang w:val="mi-NZ"/>
        </w:rPr>
        <w:instrText xml:space="preserve"> ADDIN ZOTERO_ITEM CSL_CITATION {"citationID":"NwHvVSRT","properties":{"formattedCitation":"(Anonymous, 2023)","plainCitation":"(Anonymous, 2023)","noteIndex":0},"citationItems":[{"id":11900,"uris":["http://zotero.org/groups/4882545/items/SEIMXF8R"],"itemData":{"id":11900,"type":"report","title":"Gender medicine claims rebutted","URL":"https://www.publicgood.org.nz/wp/wp-content/uploads/2023/08/table-claims-refuted.pdf","author":[{"family":"Anonymous","given":""}],"issued":{"date-parts":[["2023"]]}}}],"schema":"https://github.com/citation-style-language/schema/raw/master/csl-citation.json"} </w:instrText>
      </w:r>
      <w:r w:rsidR="0019706E">
        <w:rPr>
          <w:lang w:val="mi-NZ"/>
        </w:rPr>
        <w:fldChar w:fldCharType="separate"/>
      </w:r>
      <w:r w:rsidR="0019706E" w:rsidRPr="0019706E">
        <w:rPr>
          <w:rFonts w:cs="Calibri"/>
        </w:rPr>
        <w:t>(</w:t>
      </w:r>
      <w:r w:rsidR="008A29BB">
        <w:rPr>
          <w:rFonts w:cs="Calibri"/>
        </w:rPr>
        <w:t>Rivers</w:t>
      </w:r>
      <w:r w:rsidR="0019706E" w:rsidRPr="0019706E">
        <w:rPr>
          <w:rFonts w:cs="Calibri"/>
        </w:rPr>
        <w:t>, 2023)</w:t>
      </w:r>
      <w:r w:rsidR="0019706E">
        <w:rPr>
          <w:lang w:val="mi-NZ"/>
        </w:rPr>
        <w:fldChar w:fldCharType="end"/>
      </w:r>
    </w:p>
    <w:p w14:paraId="4DCC202B" w14:textId="26A99CD7" w:rsidR="00956C5F" w:rsidRPr="00F71830" w:rsidRDefault="00642E31" w:rsidP="00885484">
      <w:pPr>
        <w:rPr>
          <w:lang w:val="mi-NZ"/>
        </w:rPr>
      </w:pPr>
      <w:r>
        <w:rPr>
          <w:lang w:val="mi-NZ"/>
        </w:rPr>
        <w:t xml:space="preserve">There is uncertainty </w:t>
      </w:r>
      <w:r w:rsidR="00DD1EA5">
        <w:rPr>
          <w:lang w:val="mi-NZ"/>
        </w:rPr>
        <w:t xml:space="preserve">about the approach to gender medicine </w:t>
      </w:r>
      <w:r>
        <w:rPr>
          <w:lang w:val="mi-NZ"/>
        </w:rPr>
        <w:t xml:space="preserve">in New Zealand </w:t>
      </w:r>
      <w:r w:rsidR="00BD4C89">
        <w:rPr>
          <w:lang w:val="mi-NZ"/>
        </w:rPr>
        <w:t>with confl</w:t>
      </w:r>
      <w:r w:rsidR="0090353C">
        <w:rPr>
          <w:lang w:val="mi-NZ"/>
        </w:rPr>
        <w:t>i</w:t>
      </w:r>
      <w:r w:rsidR="00BD4C89">
        <w:rPr>
          <w:lang w:val="mi-NZ"/>
        </w:rPr>
        <w:t xml:space="preserve">cting </w:t>
      </w:r>
      <w:r w:rsidR="004C14B1">
        <w:rPr>
          <w:lang w:val="mi-NZ"/>
        </w:rPr>
        <w:t>directions apparent</w:t>
      </w:r>
      <w:r w:rsidR="00BD4C89">
        <w:rPr>
          <w:lang w:val="mi-NZ"/>
        </w:rPr>
        <w:t>. T</w:t>
      </w:r>
      <w:r w:rsidR="00956C5F">
        <w:rPr>
          <w:lang w:val="mi-NZ"/>
        </w:rPr>
        <w:t xml:space="preserve">he Ministry of Health </w:t>
      </w:r>
      <w:r w:rsidR="00BD4C89">
        <w:rPr>
          <w:lang w:val="mi-NZ"/>
        </w:rPr>
        <w:t>is</w:t>
      </w:r>
      <w:r w:rsidR="0092331D">
        <w:rPr>
          <w:lang w:val="mi-NZ"/>
        </w:rPr>
        <w:t xml:space="preserve"> also</w:t>
      </w:r>
      <w:r w:rsidR="00BD4C89">
        <w:rPr>
          <w:lang w:val="mi-NZ"/>
        </w:rPr>
        <w:t xml:space="preserve"> carrying out </w:t>
      </w:r>
      <w:r w:rsidR="00603BD2">
        <w:rPr>
          <w:lang w:val="mi-NZ"/>
        </w:rPr>
        <w:t>an evidence brief</w:t>
      </w:r>
      <w:r w:rsidR="00BD4C89">
        <w:rPr>
          <w:lang w:val="mi-NZ"/>
        </w:rPr>
        <w:t xml:space="preserve"> </w:t>
      </w:r>
      <w:r w:rsidR="00D06775">
        <w:rPr>
          <w:lang w:val="mi-NZ"/>
        </w:rPr>
        <w:t>i</w:t>
      </w:r>
      <w:r w:rsidR="00BD4C89">
        <w:rPr>
          <w:lang w:val="mi-NZ"/>
        </w:rPr>
        <w:t xml:space="preserve">nto the use of puberty blockers </w:t>
      </w:r>
      <w:r w:rsidR="0008171E">
        <w:rPr>
          <w:lang w:val="mi-NZ"/>
        </w:rPr>
        <w:t xml:space="preserve">drugs </w:t>
      </w:r>
      <w:r w:rsidR="0008171E">
        <w:rPr>
          <w:lang w:val="mi-NZ"/>
        </w:rPr>
        <w:fldChar w:fldCharType="begin"/>
      </w:r>
      <w:r w:rsidR="00AD71C7">
        <w:rPr>
          <w:lang w:val="mi-NZ"/>
        </w:rPr>
        <w:instrText xml:space="preserve"> ADDIN ZOTERO_ITEM CSL_CITATION {"citationID":"JNXMWWQl","properties":{"formattedCitation":"(Gower &amp; Wilkins, 2023)","plainCitation":"(Gower &amp; Wilkins, 2023)","noteIndex":0},"citationItems":[{"id":11604,"uris":["http://zotero.org/groups/4882545/items/N47WGYYH"],"itemData":{"id":11604,"type":"article-newspaper","abstract":"A review of the \"safety and reversibility\" of the drugs is due to be released in the coming months.","container-title":"Newshub","language":"en","section":"NZ","source":"www.newshub.co.nz","title":"Puberty blocker drugs under review by Ministry of Health","URL":"https://www.newshub.co.nz/home/new-zealand/2023/06/puberty-blocker-drugs-under-review-by-ministry-of-health.html","author":[{"family":"Gower","given":"Paddy"},{"family":"Wilkins","given":"Alice"}],"accessed":{"date-parts":[["2023",6,29]]},"issued":{"date-parts":[["2023"]]}}}],"schema":"https://github.com/citation-style-language/schema/raw/master/csl-citation.json"} </w:instrText>
      </w:r>
      <w:r w:rsidR="0008171E">
        <w:rPr>
          <w:lang w:val="mi-NZ"/>
        </w:rPr>
        <w:fldChar w:fldCharType="separate"/>
      </w:r>
      <w:r w:rsidR="00AD71C7" w:rsidRPr="00AD71C7">
        <w:rPr>
          <w:rFonts w:cs="Calibri"/>
        </w:rPr>
        <w:t>(Gower &amp; Wilkins, 2023)</w:t>
      </w:r>
      <w:r w:rsidR="0008171E">
        <w:rPr>
          <w:lang w:val="mi-NZ"/>
        </w:rPr>
        <w:fldChar w:fldCharType="end"/>
      </w:r>
      <w:r w:rsidR="00D06775">
        <w:rPr>
          <w:lang w:val="mi-NZ"/>
        </w:rPr>
        <w:t>.</w:t>
      </w:r>
      <w:r w:rsidR="0092331D">
        <w:rPr>
          <w:lang w:val="mi-NZ"/>
        </w:rPr>
        <w:t xml:space="preserve"> </w:t>
      </w:r>
      <w:r w:rsidR="00D06775">
        <w:rPr>
          <w:lang w:val="mi-NZ"/>
        </w:rPr>
        <w:t>N</w:t>
      </w:r>
      <w:r w:rsidR="0092331D">
        <w:rPr>
          <w:lang w:val="mi-NZ"/>
        </w:rPr>
        <w:t>evertheless</w:t>
      </w:r>
      <w:r w:rsidR="006C6057">
        <w:rPr>
          <w:lang w:val="mi-NZ"/>
        </w:rPr>
        <w:t xml:space="preserve"> in 2022 it won</w:t>
      </w:r>
      <w:r w:rsidR="0074041D">
        <w:rPr>
          <w:lang w:val="mi-NZ"/>
        </w:rPr>
        <w:t xml:space="preserve"> </w:t>
      </w:r>
      <w:r w:rsidR="00B31401">
        <w:rPr>
          <w:lang w:val="mi-NZ"/>
        </w:rPr>
        <w:t>fund</w:t>
      </w:r>
      <w:r w:rsidR="0048607C">
        <w:rPr>
          <w:lang w:val="mi-NZ"/>
        </w:rPr>
        <w:t>ing intended for</w:t>
      </w:r>
      <w:r w:rsidR="00B31401">
        <w:rPr>
          <w:lang w:val="mi-NZ"/>
        </w:rPr>
        <w:t xml:space="preserve"> the </w:t>
      </w:r>
      <w:r w:rsidR="000269F6">
        <w:rPr>
          <w:lang w:val="mi-NZ"/>
        </w:rPr>
        <w:t xml:space="preserve">development </w:t>
      </w:r>
      <w:r w:rsidR="00B31401">
        <w:rPr>
          <w:lang w:val="mi-NZ"/>
        </w:rPr>
        <w:t xml:space="preserve">of </w:t>
      </w:r>
      <w:r w:rsidR="00956C5F">
        <w:rPr>
          <w:lang w:val="mi-NZ"/>
        </w:rPr>
        <w:t>an updated Guideline</w:t>
      </w:r>
      <w:r w:rsidR="001044DC">
        <w:rPr>
          <w:lang w:val="mi-NZ"/>
        </w:rPr>
        <w:t xml:space="preserve"> </w:t>
      </w:r>
      <w:r w:rsidR="004E1684">
        <w:rPr>
          <w:lang w:val="mi-NZ"/>
        </w:rPr>
        <w:fldChar w:fldCharType="begin"/>
      </w:r>
      <w:r w:rsidR="00604CA2">
        <w:rPr>
          <w:lang w:val="mi-NZ"/>
        </w:rPr>
        <w:instrText xml:space="preserve"> ADDIN ZOTERO_ITEM CSL_CITATION {"citationID":"HxHDSMzw","properties":{"formattedCitation":"(Verrall, 2022)","plainCitation":"(Verrall, 2022)","noteIndex":0},"citationItems":[{"id":11904,"uris":["http://zotero.org/groups/4882545/items/LUAESK9C"],"itemData":{"id":11904,"type":"report","abstract":"Access to health care services will become easier for transgender people, Associate Minister of Health Dr Ayesha Verrall has announced.","language":"en","publisher":"The Beehive","title":"Rainbow health gets funding boost","URL":"https://www.beehive.govt.nz/release/rainbow-health-gets-funding-boost","author":[{"family":"Verrall","given":"Ayesha"}],"accessed":{"date-parts":[["2023",8,21]]},"issued":{"date-parts":[["2022",6,2]]}}}],"schema":"https://github.com/citation-style-language/schema/raw/master/csl-citation.json"} </w:instrText>
      </w:r>
      <w:r w:rsidR="004E1684">
        <w:rPr>
          <w:lang w:val="mi-NZ"/>
        </w:rPr>
        <w:fldChar w:fldCharType="separate"/>
      </w:r>
      <w:r w:rsidR="00604CA2" w:rsidRPr="00604CA2">
        <w:rPr>
          <w:rFonts w:cs="Calibri"/>
        </w:rPr>
        <w:t>(Verrall, 2022)</w:t>
      </w:r>
      <w:r w:rsidR="004E1684">
        <w:rPr>
          <w:lang w:val="mi-NZ"/>
        </w:rPr>
        <w:fldChar w:fldCharType="end"/>
      </w:r>
      <w:r w:rsidR="00956C5F">
        <w:rPr>
          <w:rFonts w:cs="Calibri"/>
          <w:lang w:val="mi-NZ"/>
        </w:rPr>
        <w:t xml:space="preserve"> </w:t>
      </w:r>
      <w:r w:rsidR="001044DC">
        <w:rPr>
          <w:lang w:val="mi-NZ"/>
        </w:rPr>
        <w:t xml:space="preserve">based on </w:t>
      </w:r>
      <w:r w:rsidR="00956C5F">
        <w:rPr>
          <w:lang w:val="mi-NZ"/>
        </w:rPr>
        <w:t>the release of recently published World Professional Association for Transgen</w:t>
      </w:r>
      <w:r w:rsidR="00347B50">
        <w:rPr>
          <w:lang w:val="mi-NZ"/>
        </w:rPr>
        <w:t>d</w:t>
      </w:r>
      <w:r w:rsidR="00956C5F">
        <w:rPr>
          <w:lang w:val="mi-NZ"/>
        </w:rPr>
        <w:t xml:space="preserve">er Health (WPATH) Standards of Care </w:t>
      </w:r>
      <w:r w:rsidR="00FE3294">
        <w:rPr>
          <w:lang w:val="mi-NZ"/>
        </w:rPr>
        <w:t xml:space="preserve">(SOC 8) </w:t>
      </w:r>
      <w:r w:rsidR="003B6301">
        <w:rPr>
          <w:lang w:val="mi-NZ"/>
        </w:rPr>
        <w:t>which advocates their use.</w:t>
      </w:r>
      <w:r w:rsidR="00956C5F">
        <w:rPr>
          <w:lang w:val="mi-NZ"/>
        </w:rPr>
        <w:fldChar w:fldCharType="begin"/>
      </w:r>
      <w:r w:rsidR="00956C5F">
        <w:rPr>
          <w:lang w:val="mi-NZ"/>
        </w:rPr>
        <w:instrText xml:space="preserve"> ADDIN ZOTERO_ITEM CSL_CITATION {"citationID":"S4nJuMrG","properties":{"formattedCitation":"(Coleman et al., 2022)","plainCitation":"(Coleman et al., 2022)","noteIndex":0},"citationItems":[{"id":8204,"uris":["http://zotero.org/groups/4882545/items/J4G3UBVH"],"itemData":{"id":8204,"type":"article-journal","abstract":"Background: Transgender healthcare is a rapidly evolving interdisciplinary field. In the last decade, there has been an unprecedented increase in the number and visibility of transgender and gender diverse (TGD) people seeking support and gender-affirming medical treatment in parallel with a significant rise in the scientific literature in this area. The World Professional Association for Transgender Health (WPATH) is an international, multidisciplinary, professional association whose mission is to promote evidence-based care, education, research, public policy, and respect in transgender health. One of the main functions of WPATH is to promote the highest standards of health care for TGD people through the Standards of Care (SOC). The SOC was initially developed in 1979 and the last version (SOC-7) was published in 2012. In view of the increasing scientific evidence, WPATH commissioned a new version of the Standards of Care, the SOC-8. Aim: The overall goal of SOC-8 is to provide health care professionals (HCPs) with clinical guidance to assist TGD people in accessing safe and effective pathways to achieving lasting personal comfort with their gendered selves with the aim of optimizing their overall physical health, psychological well-being, and self-fulfillment.\nMethods: The SOC-8 is based on the best available science and expert professional consensus in transgender health. International professionals and stakeholders were selected to serve on the SOC-8 committee. Recommendation statements were developed based on data derived from independent systematic literature reviews, where available, background reviews and expert opinions. Grading of recommendations was based on the available evidence supporting interventions, a discussion of risks and harms, as well as the feasibility and acceptability within different contexts and country settings.\nResults: A total of 18 chapters were developed as part of the SOC-8. They contain recommendations for health care professionals who provide care and treatment for TGD people. Each of the recommendations is followed by explanatory text with relevant references. General areas related to transgender health are covered in the chapters Terminology, Global Applicability, Population Estimates, and Education. The chapters developed for the diverse population of TGD people include Assessment of Adults, Adolescents, Children, Nonbinary, Eunuchs, and Intersex Individuals, and people living in Institutional Environments. Finally, the chapters related to gender-affirming treatment are Hormone Therapy, Surgery and Postoperative Care, Voice and Communication, Primary Care, Reproductive Health, Sexual Health, and Mental Health.\nConclusions: The SOC-8 guidelines are intended to be flexible to meet the diverse health care needs of TGD people globally. While adaptable, they offer standards for promoting optimal health care and guidance for the treatment of people experiencing gender incongruence. As in all previous versions of the SOC, the criteria set forth in this document for gender-affirming medical interventions are clinical guidelines; individual health care professionals and programs may modify these in consultation with the TGD person.  WPATH Soc8","container-title":"International Journal of Transgender Health","DOI":"10.1080/26895269.2022.2100644","ISSN":"2689-5269","issue":"sup1","journalAbbreviation":"International Journal of Transgender Health","language":"en","page":"S1-S259","source":"DOI.org (Crossref)","title":"Standards of Care for the Health of Transgender and Gender Diverse People, Version 8","URL":"https://www.tandfonline.com/doi/full/10.1080/26895269.2022.2100644","volume":"23","author":[{"family":"Coleman","given":"E."},{"family":"Radix","given":"A. E."},{"family":"Bouman","given":"W. P."},{"family":"Brown","given":"G. R."},{"family":"Vries","given":"A. L. C.","non-dropping-particle":"de"},{"family":"Deutsch","given":"M. B."},{"family":"Ettner","given":"R."},{"family":"Fraser","given":"L."},{"family":"Goodman","given":"M."},{"family":"Green","given":"J."},{"family":"Hancock","given":"A. B."},{"family":"Johnson","given":"T. W."},{"family":"Karasic","given":"D. H."},{"family":"Knudson","given":"G. A."},{"family":"Leibowitz","given":"S. F."},{"family":"Meyer-Bahlburg","given":"H. F. L."},{"family":"Monstrey","given":"S. J."},{"family":"Motmans","given":"J."},{"family":"Nahata","given":"L."},{"family":"Nieder","given":"T. O."},{"family":"Reisner","given":"S. L."},{"family":"Richards","given":"C."},{"family":"Schechter","given":"L. S."},{"family":"Tangpricha","given":"V."},{"family":"Tishelman","given":"A. C."},{"family":"Van Trotsenburg","given":"M. A. A."},{"family":"Winter","given":"S."},{"family":"Ducheny","given":"K."},{"family":"Adams","given":"N. J."},{"family":"Adrián","given":"T. M."},{"family":"Allen","given":"L. R."},{"family":"Azul","given":"D."},{"family":"Bagga","given":"H."},{"family":"Başar","given":"K."},{"family":"Bathory","given":"D. S."},{"family":"Belinky","given":"J. J."},{"family":"Berg","given":"D. R."},{"family":"Berli","given":"J. U."},{"family":"Bluebond-Langner","given":"R. O."},{"family":"Bouman","given":"M.-B."},{"family":"Bowers","given":"M. L."},{"family":"Brassard","given":"P. J."},{"family":"Byrne","given":"J."},{"family":"Capitán","given":"L."},{"family":"Cargill","given":"C. J."},{"family":"Carswell","given":"J. M."},{"family":"Chang","given":"S. C."},{"family":"Chelvakumar","given":"G."},{"family":"Corneil","given":"T."},{"family":"Dalke","given":"K. B."},{"family":"De Cuypere","given":"G."},{"family":"Vries","given":"E.","non-dropping-particle":"de"},{"family":"Den Heijer","given":"M."},{"family":"Devor","given":"A. H."},{"family":"Dhejne","given":"C."},{"family":"D’Marco","given":"A."},{"family":"Edmiston","given":"E. K."},{"family":"Edwards-Leeper","given":"L."},{"family":"Ehrbar","given":"R."},{"family":"Ehrensaft","given":"D."},{"family":"Eisfeld","given":"J."},{"family":"Elaut","given":"E."},{"family":"Erickson-Schroth","given":"L."},{"family":"Feldman","given":"J. L."},{"family":"Fisher","given":"A. D."},{"family":"Garcia","given":"M. M."},{"family":"Gijs","given":"L."},{"family":"Green","given":"S. E."},{"family":"Hall","given":"B. P."},{"family":"Hardy","given":"T. L. D."},{"family":"Irwig","given":"M. S."},{"family":"Jacobs","given":"L. A."},{"family":"Janssen","given":"A. C."},{"family":"Johnson","given":"K."},{"family":"Klink","given":"D. T."},{"family":"Kreukels","given":"B. P. C."},{"family":"Kuper","given":"L. E."},{"family":"Kvach","given":"E. J."},{"family":"Malouf","given":"M. A."},{"family":"Massey","given":"R."},{"family":"Mazur","given":"T."},{"family":"McLachlan","given":"C."},{"family":"Morrison","given":"S. D."},{"family":"Mosser","given":"S. W."},{"family":"Neira","given":"P. M."},{"family":"Nygren","given":"U."},{"family":"Oates","given":"J. M."},{"family":"Obedin-Maliver","given":"J."},{"family":"Pagkalos","given":"G."},{"family":"Patton","given":"J."},{"family":"Phanuphak","given":"N."},{"family":"Rachlin","given":"K."},{"family":"Reed","given":"T."},{"family":"Rider","given":"G. N."},{"family":"Ristori","given":"J."},{"family":"Robbins-Cherry","given":"S."},{"family":"Roberts","given":"S. A."},{"family":"Rodriguez-Wallberg","given":"K. A."},{"family":"Rosenthal","given":"S. M."},{"family":"Sabir","given":"K."},{"family":"Safer","given":"J. D."},{"family":"Scheim","given":"A. I."},{"family":"Seal","given":"L. J."},{"family":"Sehoole","given":"T. J."},{"family":"Spencer","given":"K."},{"family":"St. Amand","given":"C."},{"family":"Steensma","given":"T. D."},{"family":"Strang","given":"J. F."},{"family":"Taylor","given":"G. B."},{"family":"Tilleman","given":"K."},{"family":"T’Sjoen","given":"G. G."},{"family":"Vala","given":"L. N."},{"family":"Van Mello","given":"N. M."},{"family":"Veale","given":"J. F."},{"family":"Vencill","given":"J. A."},{"family":"Vincent","given":"B."},{"family":"Wesp","given":"L. M."},{"family":"West","given":"M. A."},{"family":"Arcelus","given":"J."}],"accessed":{"date-parts":[["2022",10,2]]},"issued":{"date-parts":[["2022",8,19]]}}}],"schema":"https://github.com/citation-style-language/schema/raw/master/csl-citation.json"} </w:instrText>
      </w:r>
      <w:r w:rsidR="00956C5F">
        <w:rPr>
          <w:lang w:val="mi-NZ"/>
        </w:rPr>
        <w:fldChar w:fldCharType="separate"/>
      </w:r>
      <w:r w:rsidR="00956C5F" w:rsidRPr="00AC7C74">
        <w:rPr>
          <w:rFonts w:cs="Calibri"/>
        </w:rPr>
        <w:t>(Coleman et al., 2022)</w:t>
      </w:r>
      <w:r w:rsidR="00956C5F">
        <w:rPr>
          <w:lang w:val="mi-NZ"/>
        </w:rPr>
        <w:fldChar w:fldCharType="end"/>
      </w:r>
      <w:r w:rsidR="00FE3294">
        <w:rPr>
          <w:lang w:val="mi-NZ"/>
        </w:rPr>
        <w:t xml:space="preserve"> Meanwhile Te </w:t>
      </w:r>
      <w:r w:rsidR="00637572">
        <w:rPr>
          <w:lang w:val="mi-NZ"/>
        </w:rPr>
        <w:t>Whatu</w:t>
      </w:r>
      <w:r w:rsidR="00FE3294">
        <w:rPr>
          <w:lang w:val="mi-NZ"/>
        </w:rPr>
        <w:t xml:space="preserve"> Ora (</w:t>
      </w:r>
      <w:r w:rsidR="00B8544C">
        <w:rPr>
          <w:lang w:val="mi-NZ"/>
        </w:rPr>
        <w:t>Health New Zealand</w:t>
      </w:r>
      <w:r w:rsidR="00FE3294">
        <w:rPr>
          <w:lang w:val="mi-NZ"/>
        </w:rPr>
        <w:t xml:space="preserve">) has tendered for </w:t>
      </w:r>
      <w:r w:rsidR="00A96FAC">
        <w:rPr>
          <w:lang w:val="mi-NZ"/>
        </w:rPr>
        <w:t xml:space="preserve">organisations to </w:t>
      </w:r>
      <w:r w:rsidR="00881DDA">
        <w:rPr>
          <w:lang w:val="mi-NZ"/>
        </w:rPr>
        <w:t>develop ‘</w:t>
      </w:r>
      <w:r w:rsidR="00881DDA" w:rsidRPr="009E159E">
        <w:rPr>
          <w:i/>
          <w:iCs/>
          <w:lang w:val="mi-NZ"/>
        </w:rPr>
        <w:t>t</w:t>
      </w:r>
      <w:r w:rsidR="00A96FAC" w:rsidRPr="009E159E">
        <w:rPr>
          <w:i/>
          <w:iCs/>
        </w:rPr>
        <w:t>raining and workforce development programmes</w:t>
      </w:r>
      <w:r w:rsidR="00A648A3">
        <w:t>’</w:t>
      </w:r>
      <w:r w:rsidR="00A648A3">
        <w:fldChar w:fldCharType="begin"/>
      </w:r>
      <w:r w:rsidR="00F26280">
        <w:instrText xml:space="preserve"> ADDIN ZOTERO_ITEM CSL_CITATION {"citationID":"E1kYVKNY","properties":{"formattedCitation":"(NZ Health Partnerships Limited, 2023)","plainCitation":"(NZ Health Partnerships Limited, 2023)","noteIndex":0},"citationItems":[{"id":11837,"uris":["http://zotero.org/groups/4882545/items/CRYJUTF7"],"itemData":{"id":11837,"type":"report","publisher":"Government Electronic Tendering Service","title":"Training and workforce development programmes to improve primary and community health workforce responsiveness to transgender patients","URL":"https://www.gets.govt.nz/HBL/ExternalTenderDetails.htm?id=26800275","author":[{"family":"NZ Health Partnerships Limited","given":""}],"accessed":{"date-parts":[["2023",8,9]]},"issued":{"date-parts":[["2023"]]}}}],"schema":"https://github.com/citation-style-language/schema/raw/master/csl-citation.json"} </w:instrText>
      </w:r>
      <w:r w:rsidR="00A648A3">
        <w:fldChar w:fldCharType="separate"/>
      </w:r>
      <w:r w:rsidR="00F26280" w:rsidRPr="00F26280">
        <w:rPr>
          <w:rFonts w:cs="Calibri"/>
        </w:rPr>
        <w:t>(NZ Health Partnerships Limited, 2023)</w:t>
      </w:r>
      <w:r w:rsidR="00A648A3">
        <w:fldChar w:fldCharType="end"/>
      </w:r>
      <w:r w:rsidR="006C4FAC">
        <w:t xml:space="preserve"> ahead of the </w:t>
      </w:r>
      <w:r w:rsidR="00EA3BE8">
        <w:t xml:space="preserve">creation of </w:t>
      </w:r>
      <w:r w:rsidR="00C45C93">
        <w:t>a</w:t>
      </w:r>
      <w:r w:rsidR="00DA2563">
        <w:t xml:space="preserve"> new Guid</w:t>
      </w:r>
      <w:r w:rsidR="002B77D5">
        <w:t>e</w:t>
      </w:r>
      <w:r w:rsidR="00DA2563">
        <w:t>line</w:t>
      </w:r>
      <w:r w:rsidR="0092331D">
        <w:t>,</w:t>
      </w:r>
      <w:r w:rsidR="00803542">
        <w:t xml:space="preserve"> and its </w:t>
      </w:r>
      <w:r w:rsidR="004B34E3">
        <w:t xml:space="preserve">advice </w:t>
      </w:r>
      <w:r w:rsidR="00803542">
        <w:t>on</w:t>
      </w:r>
      <w:r w:rsidR="004B34E3">
        <w:t xml:space="preserve"> </w:t>
      </w:r>
      <w:r w:rsidR="00074B40">
        <w:t xml:space="preserve">criteria for gender surgery </w:t>
      </w:r>
      <w:r w:rsidR="004B34E3">
        <w:t xml:space="preserve">has recently </w:t>
      </w:r>
      <w:r w:rsidR="00084DC8">
        <w:t xml:space="preserve">reverted from </w:t>
      </w:r>
      <w:r w:rsidR="00A6417B">
        <w:t xml:space="preserve">WPATH </w:t>
      </w:r>
      <w:r w:rsidR="00084DC8">
        <w:t xml:space="preserve">SOC 8 </w:t>
      </w:r>
      <w:r w:rsidR="00A6417B">
        <w:t xml:space="preserve">to the 2012 </w:t>
      </w:r>
      <w:r w:rsidR="00197B33">
        <w:t xml:space="preserve">WPATH </w:t>
      </w:r>
      <w:r w:rsidR="00F26280">
        <w:t xml:space="preserve">SOC 7 </w:t>
      </w:r>
      <w:r w:rsidR="00A6417B">
        <w:t>guideline.</w:t>
      </w:r>
      <w:r w:rsidR="005C731B">
        <w:t xml:space="preserve"> </w:t>
      </w:r>
      <w:r w:rsidR="00E82189">
        <w:fldChar w:fldCharType="begin"/>
      </w:r>
      <w:r w:rsidR="00E023BF">
        <w:instrText xml:space="preserve"> ADDIN ZOTERO_ITEM CSL_CITATION {"citationID":"AgaQnxhs","properties":{"formattedCitation":"(Te Whatu Ora, 2023a)","plainCitation":"(Te Whatu Ora, 2023a)","noteIndex":0},"citationItems":[{"id":11908,"uris":["http://zotero.org/groups/4882545/items/I28KEFGA"],"itemData":{"id":11908,"type":"report","publisher":"Health New Zealand","title":"The Gender Affirming (Genital) Surgery Service","URL":"https://www.tewhatuora.govt.nz/our-health-system/preventative-healthwellness/providing-health-services-for-transgender-people/the-gender-affirming-genital-surgery-service/","author":[{"family":"Te Whatu Ora","given":""}],"accessed":{"date-parts":[["2023",8,21]]},"issued":{"date-parts":[["2023"]]}}}],"schema":"https://github.com/citation-style-language/schema/raw/master/csl-citation.json"} </w:instrText>
      </w:r>
      <w:r w:rsidR="00E82189">
        <w:fldChar w:fldCharType="separate"/>
      </w:r>
      <w:r w:rsidR="00E023BF" w:rsidRPr="00E023BF">
        <w:rPr>
          <w:rFonts w:cs="Calibri"/>
        </w:rPr>
        <w:t>(Te Whatu Ora, 2023a)</w:t>
      </w:r>
      <w:r w:rsidR="00E82189">
        <w:fldChar w:fldCharType="end"/>
      </w:r>
      <w:r w:rsidR="00C343C2">
        <w:t xml:space="preserve"> </w:t>
      </w:r>
      <w:r w:rsidR="005C731B">
        <w:t xml:space="preserve">In contrast to the </w:t>
      </w:r>
      <w:r w:rsidR="006303B3">
        <w:t>Ministry of Health</w:t>
      </w:r>
      <w:r w:rsidR="00C343C2">
        <w:t>,</w:t>
      </w:r>
      <w:r w:rsidR="006303B3">
        <w:t xml:space="preserve"> </w:t>
      </w:r>
      <w:r w:rsidR="00197B33">
        <w:t>a s</w:t>
      </w:r>
      <w:r w:rsidR="006303B3">
        <w:t xml:space="preserve">enior member of PATHA </w:t>
      </w:r>
      <w:r w:rsidR="00496BB5">
        <w:t>has recently said that puberty blockers are safe and fully reversible</w:t>
      </w:r>
      <w:r w:rsidR="0071394E">
        <w:t xml:space="preserve"> </w:t>
      </w:r>
      <w:r w:rsidR="002C6090">
        <w:fldChar w:fldCharType="begin"/>
      </w:r>
      <w:r w:rsidR="002C6090">
        <w:instrText xml:space="preserve"> ADDIN ZOTERO_ITEM CSL_CITATION {"citationID":"xZLCoSUr","properties":{"formattedCitation":"(Gower &amp; Wilkins, 2023)","plainCitation":"(Gower &amp; Wilkins, 2023)","noteIndex":0},"citationItems":[{"id":11604,"uris":["http://zotero.org/groups/4882545/items/N47WGYYH"],"itemData":{"id":11604,"type":"article-newspaper","abstract":"A review of the \"safety and reversibility\" of the drugs is due to be released in the coming months.","container-title":"Newshub","language":"en","section":"NZ","source":"www.newshub.co.nz","title":"Puberty blocker drugs under review by Ministry of Health","URL":"https://www.newshub.co.nz/home/new-zealand/2023/06/puberty-blocker-drugs-under-review-by-ministry-of-health.html","author":[{"family":"Gower","given":"Paddy"},{"family":"Wilkins","given":"Alice"}],"accessed":{"date-parts":[["2023",6,29]]},"issued":{"date-parts":[["2023"]]}}}],"schema":"https://github.com/citation-style-language/schema/raw/master/csl-citation.json"} </w:instrText>
      </w:r>
      <w:r w:rsidR="002C6090">
        <w:fldChar w:fldCharType="separate"/>
      </w:r>
      <w:r w:rsidR="002C6090" w:rsidRPr="002C6090">
        <w:rPr>
          <w:rFonts w:cs="Calibri"/>
        </w:rPr>
        <w:t>(Gower &amp; Wilkins, 2023)</w:t>
      </w:r>
      <w:r w:rsidR="002C6090">
        <w:fldChar w:fldCharType="end"/>
      </w:r>
      <w:r w:rsidR="001A30C5">
        <w:t xml:space="preserve"> </w:t>
      </w:r>
      <w:r w:rsidR="00C343C2">
        <w:t>e</w:t>
      </w:r>
      <w:r w:rsidR="00315E9C">
        <w:t xml:space="preserve">ven as the </w:t>
      </w:r>
      <w:r w:rsidR="00F71830">
        <w:rPr>
          <w:lang w:val="mi-NZ"/>
        </w:rPr>
        <w:t>PATHA guideline accepts that there are health impacts, including to bone health and</w:t>
      </w:r>
      <w:r w:rsidR="00885484">
        <w:rPr>
          <w:lang w:val="mi-NZ"/>
        </w:rPr>
        <w:t xml:space="preserve"> </w:t>
      </w:r>
      <w:r w:rsidR="0051611C">
        <w:rPr>
          <w:lang w:val="mi-NZ"/>
        </w:rPr>
        <w:t>sexual functioning.</w:t>
      </w:r>
      <w:r w:rsidR="00BE0644">
        <w:rPr>
          <w:lang w:val="mi-NZ"/>
        </w:rPr>
        <w:t xml:space="preserve"> </w:t>
      </w:r>
      <w:r w:rsidR="001A521F">
        <w:rPr>
          <w:lang w:val="mi-NZ"/>
        </w:rPr>
        <w:fldChar w:fldCharType="begin"/>
      </w:r>
      <w:r w:rsidR="001A521F">
        <w:rPr>
          <w:lang w:val="mi-NZ"/>
        </w:rPr>
        <w:instrText xml:space="preserve"> ADDIN ZOTERO_ITEM CSL_CITATION {"citationID":"NzC7oinP","properties":{"formattedCitation":"(Oliphant et al., 2018)","plainCitation":"(Oliphant et al., 2018)","noteIndex":0},"citationItems":[{"id":8571,"uris":["http://zotero.org/groups/4882545/items/HQBYRTWE"],"itemData":{"id":8571,"type":"report","event-place":"Hamilton, NZ","publisher":"Transgender Health Research Lab, University of Waikato,","publisher-place":"Hamilton, NZ","title":"Guidelines for gender affirming healthcare for gender diverse and transgender children, young people and adults in Aotearoa.","URL":"https://researchcommons.waikato.ac.nz/bitstream/handle/10289/12160/Guidelines%20for%20Gender%20Affirming%20Health%20low%20res.pdf","author":[{"family":"Oliphant","given":"Jeannie"},{"family":"Veale","given":"Jaimie F."},{"family":"MacDonald","given":"Joe"},{"family":"Carroll","given":"Richard"},{"family":"Harte","given":"Mo"},{"family":"Stephenson","given":"Cathy"},{"family":"Bullock","given":"Jemima J"}],"accessed":{"date-parts":[["2019",7,12]]},"issued":{"date-parts":[["2018",10]]}}}],"schema":"https://github.com/citation-style-language/schema/raw/master/csl-citation.json"} </w:instrText>
      </w:r>
      <w:r w:rsidR="001A521F">
        <w:rPr>
          <w:lang w:val="mi-NZ"/>
        </w:rPr>
        <w:fldChar w:fldCharType="separate"/>
      </w:r>
      <w:r w:rsidR="001A521F" w:rsidRPr="001A521F">
        <w:rPr>
          <w:rFonts w:cs="Calibri"/>
        </w:rPr>
        <w:t>(Oliphant et al., 2018)</w:t>
      </w:r>
      <w:r w:rsidR="001A521F">
        <w:rPr>
          <w:lang w:val="mi-NZ"/>
        </w:rPr>
        <w:fldChar w:fldCharType="end"/>
      </w:r>
    </w:p>
    <w:p w14:paraId="549E6901" w14:textId="152A7EAE" w:rsidR="00B76CBE" w:rsidRDefault="009404C0" w:rsidP="00885484">
      <w:pPr>
        <w:pStyle w:val="Heading2"/>
      </w:pPr>
      <w:bookmarkStart w:id="17" w:name="_Toc140574829"/>
      <w:bookmarkStart w:id="18" w:name="_Toc143668007"/>
      <w:bookmarkStart w:id="19" w:name="_Toc145238120"/>
      <w:bookmarkStart w:id="20" w:name="_Toc156044300"/>
      <w:r>
        <w:t>Structure of the PATHA Guideline</w:t>
      </w:r>
      <w:bookmarkEnd w:id="17"/>
      <w:bookmarkEnd w:id="18"/>
      <w:bookmarkEnd w:id="19"/>
      <w:bookmarkEnd w:id="20"/>
    </w:p>
    <w:p w14:paraId="5E2D7682" w14:textId="45E69694" w:rsidR="00F01AC5" w:rsidRDefault="00E252D3" w:rsidP="00885484">
      <w:r w:rsidRPr="005F7378">
        <w:rPr>
          <w:lang w:eastAsia="en-US"/>
        </w:rPr>
        <w:t xml:space="preserve">The introduction </w:t>
      </w:r>
      <w:r w:rsidR="00ED2398" w:rsidRPr="005F7378">
        <w:rPr>
          <w:lang w:eastAsia="en-US"/>
        </w:rPr>
        <w:t>to</w:t>
      </w:r>
      <w:r w:rsidR="00A42385" w:rsidRPr="005F7378">
        <w:rPr>
          <w:lang w:eastAsia="en-US"/>
        </w:rPr>
        <w:t xml:space="preserve"> the Guideline </w:t>
      </w:r>
      <w:r w:rsidRPr="005F7378">
        <w:rPr>
          <w:lang w:eastAsia="en-US"/>
        </w:rPr>
        <w:t xml:space="preserve">explains that </w:t>
      </w:r>
      <w:r w:rsidR="00A42385" w:rsidRPr="005F7378">
        <w:rPr>
          <w:lang w:eastAsia="en-US"/>
        </w:rPr>
        <w:t>it</w:t>
      </w:r>
      <w:r w:rsidRPr="005F7378">
        <w:rPr>
          <w:lang w:eastAsia="en-US"/>
        </w:rPr>
        <w:t xml:space="preserve"> arises out of WPATH’s Standards of Care v</w:t>
      </w:r>
      <w:r w:rsidR="007A0B51" w:rsidRPr="005F7378">
        <w:rPr>
          <w:lang w:eastAsia="en-US"/>
        </w:rPr>
        <w:t>ersion</w:t>
      </w:r>
      <w:r w:rsidRPr="005F7378">
        <w:rPr>
          <w:lang w:eastAsia="en-US"/>
        </w:rPr>
        <w:t xml:space="preserve"> 7 (</w:t>
      </w:r>
      <w:r w:rsidR="007A0B51" w:rsidRPr="005F7378">
        <w:rPr>
          <w:lang w:eastAsia="en-US"/>
        </w:rPr>
        <w:t xml:space="preserve">WPATH </w:t>
      </w:r>
      <w:r w:rsidRPr="005F7378">
        <w:rPr>
          <w:lang w:eastAsia="en-US"/>
        </w:rPr>
        <w:t xml:space="preserve">SOC 7) from 2012 </w:t>
      </w:r>
      <w:r w:rsidR="00B979E3" w:rsidRPr="005F7378">
        <w:rPr>
          <w:lang w:eastAsia="en-US"/>
        </w:rPr>
        <w:t>implying</w:t>
      </w:r>
      <w:r w:rsidRPr="00B7313D">
        <w:rPr>
          <w:color w:val="000000"/>
        </w:rPr>
        <w:t xml:space="preserve"> </w:t>
      </w:r>
      <w:r w:rsidR="003526B7" w:rsidRPr="00B7313D">
        <w:rPr>
          <w:color w:val="000000"/>
        </w:rPr>
        <w:t>SOC 7</w:t>
      </w:r>
      <w:r w:rsidRPr="00B7313D">
        <w:rPr>
          <w:color w:val="000000"/>
        </w:rPr>
        <w:t xml:space="preserve"> is </w:t>
      </w:r>
      <w:r w:rsidR="00FF0F4B" w:rsidRPr="00B7313D">
        <w:rPr>
          <w:color w:val="000000"/>
        </w:rPr>
        <w:t>a</w:t>
      </w:r>
      <w:r w:rsidRPr="00B7313D">
        <w:rPr>
          <w:color w:val="000000"/>
        </w:rPr>
        <w:t xml:space="preserve"> source of evidential authority</w:t>
      </w:r>
      <w:r w:rsidR="00C558DB" w:rsidRPr="00B7313D">
        <w:rPr>
          <w:color w:val="000000"/>
        </w:rPr>
        <w:t>.</w:t>
      </w:r>
      <w:r w:rsidR="00E8109F" w:rsidRPr="00B7313D">
        <w:rPr>
          <w:color w:val="000000"/>
        </w:rPr>
        <w:t xml:space="preserve"> </w:t>
      </w:r>
      <w:r w:rsidR="00CB43F8" w:rsidRPr="00B7313D">
        <w:rPr>
          <w:color w:val="000000"/>
        </w:rPr>
        <w:t>D</w:t>
      </w:r>
      <w:r w:rsidR="00CB43F8" w:rsidRPr="00B7313D">
        <w:t>espite</w:t>
      </w:r>
      <w:r w:rsidR="00585981" w:rsidRPr="00B7313D">
        <w:t xml:space="preserve"> claims to the contrary, WPATH’s SOC 7 itself falls short of being an evidence based guideline</w:t>
      </w:r>
      <w:r w:rsidR="00C558DB" w:rsidRPr="00B7313D">
        <w:t>,</w:t>
      </w:r>
      <w:r w:rsidR="00585981" w:rsidRPr="00B7313D">
        <w:t xml:space="preserve"> and it is not represented in any of the international guideline databases </w:t>
      </w:r>
      <w:r w:rsidR="00585981" w:rsidRPr="00B7313D">
        <w:fldChar w:fldCharType="begin"/>
      </w:r>
      <w:r w:rsidR="00E023BF" w:rsidRPr="00B7313D">
        <w:instrText xml:space="preserve"> ADDIN ZOTERO_ITEM CSL_CITATION {"citationID":"xa8NQtrR","properties":{"formattedCitation":"(Dahlen et al., 2021)","plainCitation":"(Dahlen et al., 2021)","noteIndex":0},"citationItems":[{"id":10992,"uris":["http://zotero.org/groups/4882545/items/HRQM8AZM"],"itemData":{"id":10992,"type":"article-journal","abstract":"To identify and critically appraise published clinical practice guidelines (CPGs) regarding healthcare of gender minority/trans people.Systematic review and quality appraisal using AGREE II (Appraisal of Guidelines for Research and Evaluation tool), including stakeholder domain prioritisation.&lt;/p&gt;&lt;h3&gt;Setting&lt;/h3&gt; &lt;p&gt;Six databases and six CPG websites were searched, and international key opinion leaders approached.&lt;/p&gt;&lt;h3&gt;Participants&lt;/h3&gt; &lt;p&gt;CPGs relating to adults and/or children who are gender minority/trans with no exclusions due to comorbidities, except differences in sex development.&lt;/p&gt;&lt;h3&gt;Intervention&lt;/h3&gt; &lt;p&gt;Any health-related intervention connected to the care of gender minority/trans people.&lt;/p&gt;&lt;h3&gt;Main outcome measures&lt;/h3&gt; &lt;p&gt;Number and quality of international CPGs addressing the health of gender minority/trans people, information on estimated changes in mortality or quality of life (QoL), consistency of recommended interventions across CPGs, and appraisal of key messages for patients.&lt;/p&gt;&lt;h3&gt;Results&lt;/h3&gt; &lt;p&gt;Twelve international CPGs address gender minority/trans people’s healthcare as complete (n=5), partial (n=4) or marginal (n=3) focus of guidance. The quality scores have a wide range and heterogeneity whichever AGREE II domain is prioritised. Five higher-quality CPGs focus on HIV and other blood-borne infections (overall assessment scores 69%–94%). Six lower-quality CPGs concern transition-specific interventions (overall assessment scores 11%–56%). None deal with primary care, mental health or longer-term medical issues. Sparse information on estimated changes in mortality and QoL is conflicting. Consistency between CPGs could not be examined due to unclear recommendations within the World Professional Association for Transgender Health Standards of Care Version 7 and a lack of overlap between other CPGs. None provide key messages for patients.&lt;/p&gt;&lt;h3&gt;Conclusions&lt;/h3&gt; &lt;p&gt;A paucity of high-quality guidance for gender minority/trans people exists, largely limited to HIV and transition, but not wider aspects of healthcare, mortality or QoL. Reference to AGREE II, use of systematic reviews, independent external review, stakeholder participation and patient facing material might improve future CPG quality.&lt;/p&gt;&lt;h3&gt;PROSPERO registration number&lt;/h3&gt; &lt;p&gt;CRD42019154361.&lt;/p&gt;","container-title":"BMJ Open","DOI":"10.1136/bmjopen-2021-048943","ISSN":"2044-6055, 2044-6055","issue":"4","language":"en","license":"© Author(s) (or their employer(s)) 2021. Re-use permitted under CC BY-NC. No commercial re-use. See rights and permissions. Published by BMJ.. http://creativecommons.org/licenses/by-nc/4.0/This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appropriate credit is given, any changes made indicated, and the use is non-commercial. See: http://creativecommons.org/licenses/by-nc/4.0/.","note":"publisher: British Medical Journal Publishing Group\nsection: Health services research\nPMID: 33926984","page":"e048943","source":"bmjopen.bmj.com","title":"International clinical practice guidelines for gender minority/trans people: systematic review and quality assessment","title-short":"International clinical practice guidelines for gender minority/trans people","URL":"https://bmjopen.bmj.com/content/11/4/e048943","volume":"11","author":[{"family":"Dahlen","given":"Sara"},{"family":"Connolly","given":"Dean"},{"family":"Arif","given":"Isra"},{"family":"Junejo","given":"Muhammad Hyder"},{"family":"Bewley","given":"Susan"},{"family":"Meads","given":"Catherine"}],"accessed":{"date-parts":[["2023",4,13]]},"issued":{"date-parts":[["2021",4,1]]}}}],"schema":"https://github.com/citation-style-language/schema/raw/master/csl-citation.json"} </w:instrText>
      </w:r>
      <w:r w:rsidR="00585981" w:rsidRPr="00B7313D">
        <w:fldChar w:fldCharType="separate"/>
      </w:r>
      <w:r w:rsidR="00585981" w:rsidRPr="00B7313D">
        <w:t>(Dahlen et al., 2021)</w:t>
      </w:r>
      <w:r w:rsidR="00585981" w:rsidRPr="00B7313D">
        <w:fldChar w:fldCharType="end"/>
      </w:r>
      <w:r w:rsidR="00585981" w:rsidRPr="00B7313D">
        <w:t xml:space="preserve">. </w:t>
      </w:r>
      <w:r w:rsidR="001C6CCA">
        <w:t xml:space="preserve">Some of </w:t>
      </w:r>
      <w:r w:rsidR="006A6FA9">
        <w:t>WPATH</w:t>
      </w:r>
      <w:r w:rsidR="00F22887">
        <w:t xml:space="preserve"> </w:t>
      </w:r>
      <w:r w:rsidR="00256C00">
        <w:t xml:space="preserve">SOC 7’s own </w:t>
      </w:r>
      <w:r w:rsidR="006A6FA9">
        <w:t xml:space="preserve">authors have </w:t>
      </w:r>
      <w:r w:rsidR="00F01AC5">
        <w:t>criticised the Guideline’s poor evidence</w:t>
      </w:r>
      <w:r w:rsidR="001D083D">
        <w:t xml:space="preserve"> base</w:t>
      </w:r>
      <w:r w:rsidR="00C7098A">
        <w:t xml:space="preserve">, and </w:t>
      </w:r>
      <w:r w:rsidR="001D083D">
        <w:t>suggested</w:t>
      </w:r>
      <w:r w:rsidR="00C7098A">
        <w:t xml:space="preserve"> some </w:t>
      </w:r>
      <w:r w:rsidR="001D083D">
        <w:t>mitiga</w:t>
      </w:r>
      <w:r w:rsidR="00C7098A">
        <w:t>tions,</w:t>
      </w:r>
      <w:r w:rsidR="00F01AC5">
        <w:t xml:space="preserve"> saying</w:t>
      </w:r>
      <w:r w:rsidR="006E7A36">
        <w:t xml:space="preserve"> that over the years the WPATH Standards of Care has:</w:t>
      </w:r>
    </w:p>
    <w:p w14:paraId="2CA62CE6" w14:textId="2B8FC3B4" w:rsidR="006E7A36" w:rsidRPr="001C6CCA" w:rsidRDefault="006E7A36" w:rsidP="006E7A36">
      <w:pPr>
        <w:pStyle w:val="Quote"/>
        <w:rPr>
          <w:i w:val="0"/>
          <w:iCs/>
        </w:rPr>
      </w:pPr>
      <w:r w:rsidRPr="006E7A36">
        <w:t xml:space="preserve">evolved substantially, yet it remains largely based on lower-quality evidence (i.e., observational studies) and expert opinion, and with a scope that remains limited primarily to describing best practices for the diagnosis of gender dysphoria and assessing readiness and appropriateness </w:t>
      </w:r>
      <w:r w:rsidRPr="00E60B57">
        <w:t>for interventions. SOC v7 lacks any rating of the quality of the available evidence or strength of the recommendations or description of how expert contributors are selected to participate in the process of developing the guidelines.</w:t>
      </w:r>
      <w:r w:rsidR="00BF5C85" w:rsidRPr="00E60B57">
        <w:t>(</w:t>
      </w:r>
      <w:r w:rsidR="001C6CCA" w:rsidRPr="00E60B57">
        <w:t>Deutsch, 2016)</w:t>
      </w:r>
    </w:p>
    <w:p w14:paraId="346E445C" w14:textId="4046F9B8" w:rsidR="00821BF4" w:rsidRDefault="00507875" w:rsidP="00885484">
      <w:pPr>
        <w:rPr>
          <w:i/>
          <w:iCs/>
        </w:rPr>
      </w:pPr>
      <w:r>
        <w:lastRenderedPageBreak/>
        <w:t>It c</w:t>
      </w:r>
      <w:r w:rsidR="006C0E32">
        <w:t>an</w:t>
      </w:r>
      <w:r>
        <w:t xml:space="preserve"> be argued that</w:t>
      </w:r>
      <w:r w:rsidR="00D9652F" w:rsidRPr="00B7313D">
        <w:t xml:space="preserve"> </w:t>
      </w:r>
      <w:r w:rsidR="00D9652F" w:rsidRPr="00291225">
        <w:t>t</w:t>
      </w:r>
      <w:r w:rsidR="00E252D3" w:rsidRPr="00291225">
        <w:t>h</w:t>
      </w:r>
      <w:r w:rsidR="00023404" w:rsidRPr="00291225">
        <w:t xml:space="preserve">e </w:t>
      </w:r>
      <w:r w:rsidR="00D9652F" w:rsidRPr="00B7313D">
        <w:rPr>
          <w:color w:val="000000"/>
        </w:rPr>
        <w:t xml:space="preserve">PATHA </w:t>
      </w:r>
      <w:r w:rsidR="00023404" w:rsidRPr="00B7313D">
        <w:rPr>
          <w:color w:val="000000"/>
        </w:rPr>
        <w:t>Guideline</w:t>
      </w:r>
      <w:r w:rsidR="00E252D3" w:rsidRPr="00B7313D">
        <w:rPr>
          <w:color w:val="000000"/>
        </w:rPr>
        <w:t xml:space="preserve"> </w:t>
      </w:r>
      <w:r w:rsidR="00D54ECB">
        <w:rPr>
          <w:color w:val="000000"/>
        </w:rPr>
        <w:t>has been built o</w:t>
      </w:r>
      <w:r w:rsidR="006C0E32">
        <w:rPr>
          <w:color w:val="000000"/>
        </w:rPr>
        <w:t>n</w:t>
      </w:r>
      <w:r w:rsidR="00D54ECB">
        <w:rPr>
          <w:color w:val="000000"/>
        </w:rPr>
        <w:t xml:space="preserve"> poor foundations</w:t>
      </w:r>
      <w:r w:rsidR="006C0E32">
        <w:rPr>
          <w:color w:val="000000"/>
        </w:rPr>
        <w:t xml:space="preserve"> and the PATHA authors did not </w:t>
      </w:r>
      <w:r w:rsidR="00657AA8">
        <w:rPr>
          <w:color w:val="000000"/>
        </w:rPr>
        <w:t xml:space="preserve">ameliorate this by using the critique that had been made </w:t>
      </w:r>
      <w:r w:rsidR="00FB44FC">
        <w:rPr>
          <w:color w:val="000000"/>
        </w:rPr>
        <w:t xml:space="preserve">of </w:t>
      </w:r>
      <w:r w:rsidR="00411269" w:rsidRPr="00411269">
        <w:t>WPATH SOC 7</w:t>
      </w:r>
      <w:r w:rsidR="00411269">
        <w:rPr>
          <w:i/>
          <w:iCs/>
        </w:rPr>
        <w:t xml:space="preserve"> </w:t>
      </w:r>
      <w:r w:rsidR="006C0E32">
        <w:rPr>
          <w:color w:val="000000"/>
        </w:rPr>
        <w:t>to improve their own Guideline</w:t>
      </w:r>
      <w:r w:rsidR="00D54ECB">
        <w:rPr>
          <w:color w:val="000000"/>
        </w:rPr>
        <w:t xml:space="preserve">. </w:t>
      </w:r>
      <w:r w:rsidR="00282883">
        <w:rPr>
          <w:color w:val="000000"/>
        </w:rPr>
        <w:t>They</w:t>
      </w:r>
      <w:r w:rsidR="00411269">
        <w:rPr>
          <w:color w:val="000000"/>
        </w:rPr>
        <w:t xml:space="preserve"> </w:t>
      </w:r>
      <w:r w:rsidR="00657AA8">
        <w:rPr>
          <w:color w:val="000000"/>
        </w:rPr>
        <w:t xml:space="preserve">merely </w:t>
      </w:r>
      <w:r w:rsidR="00E252D3" w:rsidRPr="00B7313D">
        <w:rPr>
          <w:color w:val="000000"/>
        </w:rPr>
        <w:t>sa</w:t>
      </w:r>
      <w:r w:rsidR="00411269">
        <w:rPr>
          <w:color w:val="000000"/>
        </w:rPr>
        <w:t>id</w:t>
      </w:r>
      <w:r w:rsidR="00E252D3" w:rsidRPr="00B7313D">
        <w:rPr>
          <w:color w:val="000000"/>
        </w:rPr>
        <w:t xml:space="preserve"> that</w:t>
      </w:r>
      <w:r w:rsidR="00023404" w:rsidRPr="00B7313D">
        <w:rPr>
          <w:color w:val="000000"/>
        </w:rPr>
        <w:t xml:space="preserve"> it</w:t>
      </w:r>
      <w:r w:rsidR="00E252D3" w:rsidRPr="00B7313D">
        <w:rPr>
          <w:color w:val="000000"/>
        </w:rPr>
        <w:t xml:space="preserve"> </w:t>
      </w:r>
      <w:r w:rsidR="00023404" w:rsidRPr="00B7313D">
        <w:rPr>
          <w:color w:val="000000"/>
        </w:rPr>
        <w:t>‘</w:t>
      </w:r>
      <w:r w:rsidR="004A3390" w:rsidRPr="00B7313D">
        <w:rPr>
          <w:i/>
          <w:iCs/>
          <w:color w:val="000000"/>
        </w:rPr>
        <w:t>i</w:t>
      </w:r>
      <w:r w:rsidR="00E252D3" w:rsidRPr="00B7313D">
        <w:rPr>
          <w:i/>
          <w:iCs/>
        </w:rPr>
        <w:t>s not intended to replace the WPATH SOC but to present additional guidance for the provision of gender affirming healthcare in Aotearoa, New Zealand</w:t>
      </w:r>
      <w:r w:rsidR="004A3390" w:rsidRPr="00B7313D">
        <w:rPr>
          <w:i/>
          <w:iCs/>
        </w:rPr>
        <w:t>.’</w:t>
      </w:r>
      <w:r w:rsidR="00E252D3" w:rsidRPr="006D64E1">
        <w:t xml:space="preserve"> </w:t>
      </w:r>
      <w:r w:rsidR="00821BF4" w:rsidRPr="00821BF4">
        <w:t>(Oliphant, 2018)</w:t>
      </w:r>
    </w:p>
    <w:p w14:paraId="79BE1302" w14:textId="093C7AC3" w:rsidR="00732A10" w:rsidRDefault="00293511" w:rsidP="00885484">
      <w:pPr>
        <w:rPr>
          <w:color w:val="000000"/>
        </w:rPr>
      </w:pPr>
      <w:r w:rsidRPr="00B7313D">
        <w:rPr>
          <w:color w:val="000000"/>
        </w:rPr>
        <w:t xml:space="preserve">The PATHA Guideline is informed by two Māori health models. The content of the main part of the PATHA Guideline follows that of </w:t>
      </w:r>
      <w:r w:rsidR="001D07D4" w:rsidRPr="00B7313D">
        <w:rPr>
          <w:i/>
          <w:iCs/>
          <w:color w:val="000000"/>
        </w:rPr>
        <w:t>Te</w:t>
      </w:r>
      <w:r w:rsidRPr="00B7313D">
        <w:rPr>
          <w:i/>
          <w:iCs/>
          <w:color w:val="000000"/>
        </w:rPr>
        <w:t xml:space="preserve"> Whare Tapa Whā: a model of Māori Health</w:t>
      </w:r>
      <w:r w:rsidRPr="00B7313D">
        <w:rPr>
          <w:color w:val="000000"/>
        </w:rPr>
        <w:t xml:space="preserve"> devised by Dr </w:t>
      </w:r>
      <w:r w:rsidR="008C5675" w:rsidRPr="00B7313D">
        <w:rPr>
          <w:color w:val="000000"/>
        </w:rPr>
        <w:t>(</w:t>
      </w:r>
      <w:r w:rsidR="000D20B7" w:rsidRPr="00B7313D">
        <w:rPr>
          <w:color w:val="000000"/>
        </w:rPr>
        <w:t xml:space="preserve">now </w:t>
      </w:r>
      <w:r w:rsidR="008C5675" w:rsidRPr="00B7313D">
        <w:rPr>
          <w:color w:val="000000"/>
        </w:rPr>
        <w:t xml:space="preserve">Sir) </w:t>
      </w:r>
      <w:r w:rsidRPr="00B7313D">
        <w:rPr>
          <w:color w:val="000000"/>
        </w:rPr>
        <w:t xml:space="preserve">Mason Durie with the content structured according to </w:t>
      </w:r>
      <w:r w:rsidR="00744DD0" w:rsidRPr="00B7313D">
        <w:rPr>
          <w:color w:val="000000"/>
        </w:rPr>
        <w:t xml:space="preserve">its </w:t>
      </w:r>
      <w:r w:rsidRPr="00B7313D">
        <w:rPr>
          <w:color w:val="000000"/>
        </w:rPr>
        <w:t>four criteria of well-being – mental, physical, family and spiritual health which are conceived as the four walls of a whare (house)</w:t>
      </w:r>
      <w:r w:rsidR="000D58AC" w:rsidRPr="00B7313D">
        <w:rPr>
          <w:color w:val="000000"/>
        </w:rPr>
        <w:t xml:space="preserve">. </w:t>
      </w:r>
      <w:r w:rsidRPr="00B7313D">
        <w:rPr>
          <w:color w:val="000000"/>
        </w:rPr>
        <w:fldChar w:fldCharType="begin"/>
      </w:r>
      <w:r w:rsidR="006952ED" w:rsidRPr="00B7313D">
        <w:rPr>
          <w:color w:val="000000"/>
        </w:rPr>
        <w:instrText xml:space="preserve"> ADDIN ZOTERO_ITEM CSL_CITATION {"citationID":"w5y1xoqc","properties":{"formattedCitation":"(Ministry of Health NZ, n.d.)","plainCitation":"(Ministry of Health NZ, n.d.)","noteIndex":0},"citationItems":[{"id":11771,"uris":["http://zotero.org/groups/4882545/items/FAJRVWZ6"],"itemData":{"id":11771,"type":"report","abstract":"The four cornerstones (or sides) of Māori health are whānau (family health), tinana (physical health), hinengaro (mental health) and wairua (spiritual health).","language":"en","title":"Māori health models – Te Whare Tapa Whā","URL":"https://www.health.govt.nz/our-work/populations/maori-health/maori-health-models/maori-health-models-te-whare-tapa-wha","author":[{"family":"Ministry of Health NZ","given":""}],"accessed":{"date-parts":[["2023",7,19]]}}}],"schema":"https://github.com/citation-style-language/schema/raw/master/csl-citation.json"} </w:instrText>
      </w:r>
      <w:r w:rsidRPr="00B7313D">
        <w:rPr>
          <w:color w:val="000000"/>
        </w:rPr>
        <w:fldChar w:fldCharType="separate"/>
      </w:r>
      <w:r w:rsidR="006952ED" w:rsidRPr="00B7313D">
        <w:t>(Ministry of Health NZ, n.d.)</w:t>
      </w:r>
      <w:r w:rsidRPr="00B7313D">
        <w:rPr>
          <w:color w:val="000000"/>
        </w:rPr>
        <w:fldChar w:fldCharType="end"/>
      </w:r>
      <w:r w:rsidR="000D58AC" w:rsidRPr="00B7313D">
        <w:rPr>
          <w:color w:val="000000"/>
        </w:rPr>
        <w:t xml:space="preserve"> </w:t>
      </w:r>
      <w:r w:rsidRPr="00B7313D">
        <w:rPr>
          <w:color w:val="000000"/>
        </w:rPr>
        <w:t>The</w:t>
      </w:r>
      <w:r w:rsidR="002C6597" w:rsidRPr="00B7313D">
        <w:rPr>
          <w:color w:val="000000"/>
        </w:rPr>
        <w:t xml:space="preserve"> model</w:t>
      </w:r>
      <w:r w:rsidRPr="00B7313D">
        <w:rPr>
          <w:color w:val="000000"/>
        </w:rPr>
        <w:t xml:space="preserve"> can be applied at an institutional or tribal level and</w:t>
      </w:r>
      <w:r>
        <w:rPr>
          <w:color w:val="000000"/>
        </w:rPr>
        <w:t xml:space="preserve"> sometimes as a model of personal health. </w:t>
      </w:r>
      <w:r w:rsidR="00676036">
        <w:rPr>
          <w:color w:val="000000"/>
        </w:rPr>
        <w:t xml:space="preserve"> </w:t>
      </w:r>
      <w:r>
        <w:rPr>
          <w:color w:val="000000"/>
        </w:rPr>
        <w:t>D</w:t>
      </w:r>
      <w:r w:rsidR="008C5675">
        <w:rPr>
          <w:color w:val="000000"/>
        </w:rPr>
        <w:t>r</w:t>
      </w:r>
      <w:r>
        <w:rPr>
          <w:color w:val="000000"/>
        </w:rPr>
        <w:t xml:space="preserve"> Durie’s </w:t>
      </w:r>
      <w:r w:rsidRPr="00326E9F">
        <w:rPr>
          <w:i/>
          <w:iCs/>
          <w:color w:val="000000"/>
        </w:rPr>
        <w:t>Te Pae Māhutonga</w:t>
      </w:r>
      <w:r w:rsidRPr="00F377AB">
        <w:rPr>
          <w:color w:val="000000"/>
        </w:rPr>
        <w:t xml:space="preserve"> </w:t>
      </w:r>
      <w:r>
        <w:rPr>
          <w:color w:val="000000"/>
        </w:rPr>
        <w:t xml:space="preserve">is a second </w:t>
      </w:r>
      <w:r w:rsidRPr="00F377AB">
        <w:rPr>
          <w:color w:val="000000"/>
        </w:rPr>
        <w:t>framework</w:t>
      </w:r>
      <w:r w:rsidR="004A63CA">
        <w:rPr>
          <w:color w:val="000000"/>
        </w:rPr>
        <w:t>,</w:t>
      </w:r>
      <w:r w:rsidRPr="00F377AB">
        <w:rPr>
          <w:color w:val="000000"/>
        </w:rPr>
        <w:t xml:space="preserve"> </w:t>
      </w:r>
      <w:r>
        <w:rPr>
          <w:color w:val="000000"/>
        </w:rPr>
        <w:t xml:space="preserve">devised for use </w:t>
      </w:r>
      <w:r w:rsidRPr="00F377AB">
        <w:rPr>
          <w:color w:val="000000"/>
        </w:rPr>
        <w:t>in public health</w:t>
      </w:r>
      <w:r w:rsidR="0052374E">
        <w:rPr>
          <w:color w:val="000000"/>
        </w:rPr>
        <w:t xml:space="preserve"> </w:t>
      </w:r>
      <w:r>
        <w:rPr>
          <w:color w:val="000000"/>
        </w:rPr>
        <w:t xml:space="preserve">and health </w:t>
      </w:r>
      <w:r w:rsidR="004A63CA">
        <w:rPr>
          <w:color w:val="000000"/>
        </w:rPr>
        <w:t>communications,</w:t>
      </w:r>
      <w:r>
        <w:rPr>
          <w:color w:val="000000"/>
        </w:rPr>
        <w:t xml:space="preserve"> that is based on the Southern Cross and its associated pointer stars.</w:t>
      </w:r>
      <w:r>
        <w:rPr>
          <w:color w:val="000000"/>
        </w:rPr>
        <w:fldChar w:fldCharType="begin"/>
      </w:r>
      <w:r w:rsidR="00CF3633">
        <w:rPr>
          <w:color w:val="000000"/>
        </w:rPr>
        <w:instrText xml:space="preserve"> ADDIN ZOTERO_ITEM CSL_CITATION {"citationID":"0Wq4GfjN","properties":{"formattedCitation":"(Community &amp; Public Health, 2020)","plainCitation":"(Community &amp; Public Health, 2020)","noteIndex":0},"citationItems":[{"id":11673,"uris":["http://zotero.org/groups/4882545/items/JSLPK36T"],"itemData":{"id":11673,"type":"report","abstract":"Community and Public Health uses the Te Pae Māhutonga framework to ensure that all the essential aspects of health promotion and protection are addressed in their work.\n\nTe Pae Māhutonga is the name for the constellation of stars popularly referred to as the Southern Cross. The constellation is used as a symbolic model by Professor Sir Mason Durie for bringing together the significant components of health promotion, as they apply to Māori health as well as to other New Zealanders.","publisher":"Community &amp; Public Health / Te Pae Māhutonga","title":"Using the Te Pae Māhutonga framework in public health","URL":"https://www.cph.co.nz/about-us/te-pae-mahutonga/","author":[{"family":"Community &amp; Public Health","given":""}],"accessed":{"date-parts":[["2023",7,11]]},"issued":{"date-parts":[["2020",4,20]]}}}],"schema":"https://github.com/citation-style-language/schema/raw/master/csl-citation.json"} </w:instrText>
      </w:r>
      <w:r>
        <w:rPr>
          <w:color w:val="000000"/>
        </w:rPr>
        <w:fldChar w:fldCharType="separate"/>
      </w:r>
      <w:r w:rsidR="00CF3633" w:rsidRPr="00CF3633">
        <w:t>(Community &amp; Public Health, 2020)</w:t>
      </w:r>
      <w:r>
        <w:rPr>
          <w:color w:val="000000"/>
        </w:rPr>
        <w:fldChar w:fldCharType="end"/>
      </w:r>
      <w:r>
        <w:rPr>
          <w:color w:val="000000"/>
        </w:rPr>
        <w:t xml:space="preserve"> </w:t>
      </w:r>
      <w:r w:rsidR="00732A10">
        <w:rPr>
          <w:color w:val="000000"/>
        </w:rPr>
        <w:t xml:space="preserve">With </w:t>
      </w:r>
      <w:r w:rsidR="00F67F51">
        <w:rPr>
          <w:color w:val="000000"/>
        </w:rPr>
        <w:t xml:space="preserve">two </w:t>
      </w:r>
      <w:r w:rsidR="00732A10">
        <w:rPr>
          <w:color w:val="000000"/>
        </w:rPr>
        <w:t>exception</w:t>
      </w:r>
      <w:r w:rsidR="00F67F51">
        <w:rPr>
          <w:color w:val="000000"/>
        </w:rPr>
        <w:t>s</w:t>
      </w:r>
      <w:r w:rsidR="00732A10">
        <w:rPr>
          <w:color w:val="000000"/>
        </w:rPr>
        <w:t xml:space="preserve">, discussed below, the way in which this second framework influences the PATHA Guideline is not </w:t>
      </w:r>
      <w:r w:rsidR="00A45680">
        <w:rPr>
          <w:color w:val="000000"/>
        </w:rPr>
        <w:t>explained.</w:t>
      </w:r>
      <w:r w:rsidR="00732A10">
        <w:rPr>
          <w:color w:val="000000"/>
        </w:rPr>
        <w:t xml:space="preserve"> </w:t>
      </w:r>
    </w:p>
    <w:p w14:paraId="20FA498C" w14:textId="667C57AD" w:rsidR="00681B47" w:rsidRDefault="0013592F" w:rsidP="00885484">
      <w:r>
        <w:t xml:space="preserve">The Guideline does not contain a </w:t>
      </w:r>
      <w:r w:rsidR="00942591">
        <w:t>methods</w:t>
      </w:r>
      <w:r>
        <w:t xml:space="preserve"> section explaining </w:t>
      </w:r>
      <w:r w:rsidR="00C946A5">
        <w:t xml:space="preserve">how it </w:t>
      </w:r>
      <w:r w:rsidR="00D06775">
        <w:t>was developed.</w:t>
      </w:r>
      <w:r w:rsidR="00820A1C">
        <w:t xml:space="preserve"> There is no</w:t>
      </w:r>
      <w:r w:rsidR="00D06775">
        <w:t xml:space="preserve"> </w:t>
      </w:r>
      <w:r w:rsidR="00820A1C">
        <w:t xml:space="preserve">information about </w:t>
      </w:r>
      <w:r w:rsidR="008F171B">
        <w:t>how</w:t>
      </w:r>
      <w:r>
        <w:t xml:space="preserve"> literature was sourced to support the recommendations or how the suggested treatment approaches were derived from the evidence. </w:t>
      </w:r>
      <w:r w:rsidR="00A54EED">
        <w:t xml:space="preserve">A detailed </w:t>
      </w:r>
      <w:r w:rsidR="00AE35DB">
        <w:t xml:space="preserve">outline of the </w:t>
      </w:r>
      <w:r w:rsidR="00593515">
        <w:t xml:space="preserve">PATHA Guideline </w:t>
      </w:r>
      <w:r w:rsidR="00C269EE">
        <w:t xml:space="preserve">is </w:t>
      </w:r>
      <w:r w:rsidR="00593515">
        <w:t xml:space="preserve">in Appendix 1. </w:t>
      </w:r>
    </w:p>
    <w:p w14:paraId="786CB898" w14:textId="075DF690" w:rsidR="008073EC" w:rsidRDefault="008073EC" w:rsidP="00885484">
      <w:pPr>
        <w:pStyle w:val="Heading2"/>
      </w:pPr>
      <w:bookmarkStart w:id="21" w:name="_Toc140574830"/>
      <w:bookmarkStart w:id="22" w:name="_Toc143668008"/>
      <w:bookmarkStart w:id="23" w:name="_Toc145238121"/>
      <w:bookmarkStart w:id="24" w:name="_Toc156044301"/>
      <w:r>
        <w:t>Medical Guideline</w:t>
      </w:r>
      <w:bookmarkEnd w:id="21"/>
      <w:r w:rsidR="00C269EE">
        <w:t>s</w:t>
      </w:r>
      <w:r w:rsidR="00611667">
        <w:t xml:space="preserve"> in New Zealand</w:t>
      </w:r>
      <w:bookmarkEnd w:id="22"/>
      <w:bookmarkEnd w:id="23"/>
      <w:bookmarkEnd w:id="24"/>
    </w:p>
    <w:p w14:paraId="7DF284F8" w14:textId="54CCF98B" w:rsidR="008073EC" w:rsidRPr="00B5566E" w:rsidRDefault="008073EC" w:rsidP="00885484">
      <w:pPr>
        <w:rPr>
          <w:color w:val="000000"/>
        </w:rPr>
      </w:pPr>
      <w:r>
        <w:rPr>
          <w:lang w:val="mi-NZ"/>
        </w:rPr>
        <w:t xml:space="preserve">Medical guidelines are generally understood to have been prepared to meet a </w:t>
      </w:r>
      <w:r w:rsidR="00F44475">
        <w:rPr>
          <w:lang w:val="mi-NZ"/>
        </w:rPr>
        <w:t xml:space="preserve">clinical practice </w:t>
      </w:r>
      <w:r>
        <w:rPr>
          <w:lang w:val="mi-NZ"/>
        </w:rPr>
        <w:t xml:space="preserve">guideline </w:t>
      </w:r>
      <w:r w:rsidR="00FE0C37">
        <w:rPr>
          <w:lang w:val="mi-NZ"/>
        </w:rPr>
        <w:t>(CPG)</w:t>
      </w:r>
      <w:r w:rsidR="000D58AC">
        <w:rPr>
          <w:lang w:val="mi-NZ"/>
        </w:rPr>
        <w:t xml:space="preserve"> </w:t>
      </w:r>
      <w:r>
        <w:rPr>
          <w:lang w:val="mi-NZ"/>
        </w:rPr>
        <w:t>standard.</w:t>
      </w:r>
      <w:r w:rsidR="0052374E">
        <w:rPr>
          <w:lang w:val="mi-NZ"/>
        </w:rPr>
        <w:t xml:space="preserve"> </w:t>
      </w:r>
      <w:r w:rsidR="002A05F2">
        <w:rPr>
          <w:lang w:val="mi-NZ"/>
        </w:rPr>
        <w:t xml:space="preserve"> </w:t>
      </w:r>
      <w:r w:rsidR="0074203C">
        <w:t>Th</w:t>
      </w:r>
      <w:r w:rsidR="00D16AC7">
        <w:t>is</w:t>
      </w:r>
      <w:r w:rsidR="0074203C">
        <w:t xml:space="preserve"> require</w:t>
      </w:r>
      <w:r w:rsidR="00D16AC7">
        <w:t>s</w:t>
      </w:r>
      <w:r w:rsidR="0074203C">
        <w:t xml:space="preserve"> a </w:t>
      </w:r>
      <w:r w:rsidR="002A05F2">
        <w:t>formalised</w:t>
      </w:r>
      <w:r w:rsidR="00330DA9">
        <w:t xml:space="preserve"> </w:t>
      </w:r>
      <w:r w:rsidR="002A05F2">
        <w:t xml:space="preserve">approach </w:t>
      </w:r>
      <w:r w:rsidR="0074203C">
        <w:t xml:space="preserve">with a systematic </w:t>
      </w:r>
      <w:r w:rsidR="008C5FA3">
        <w:t xml:space="preserve">literature </w:t>
      </w:r>
      <w:r w:rsidR="0074203C">
        <w:t xml:space="preserve">review guiding the creation of </w:t>
      </w:r>
      <w:r w:rsidR="00F63E5C">
        <w:t>evidence</w:t>
      </w:r>
      <w:r w:rsidR="001008F6">
        <w:t>-</w:t>
      </w:r>
      <w:r w:rsidR="00F63E5C">
        <w:t xml:space="preserve">based </w:t>
      </w:r>
      <w:r w:rsidR="0074203C">
        <w:t>recommendations</w:t>
      </w:r>
      <w:r w:rsidR="00330DA9">
        <w:t>.  A</w:t>
      </w:r>
      <w:r w:rsidR="00B95C19">
        <w:t xml:space="preserve"> structured approach to evaluating the quality of the research</w:t>
      </w:r>
      <w:r w:rsidR="00664685">
        <w:t xml:space="preserve"> is </w:t>
      </w:r>
      <w:r w:rsidR="001A41CC">
        <w:t>also r</w:t>
      </w:r>
      <w:r w:rsidR="00664685">
        <w:t>equired</w:t>
      </w:r>
      <w:r w:rsidR="0074203C">
        <w:t>.</w:t>
      </w:r>
      <w:r w:rsidR="002A05F2">
        <w:t xml:space="preserve"> </w:t>
      </w:r>
      <w:r w:rsidR="00686452">
        <w:t>E</w:t>
      </w:r>
      <w:r w:rsidR="0074203C">
        <w:t>vidence</w:t>
      </w:r>
      <w:r w:rsidR="007F2704">
        <w:t>,</w:t>
      </w:r>
      <w:r w:rsidR="002A05F2">
        <w:t xml:space="preserve"> rather than expert opinion</w:t>
      </w:r>
      <w:r w:rsidR="007F2704">
        <w:t>,</w:t>
      </w:r>
      <w:r w:rsidR="002A05F2">
        <w:t xml:space="preserve"> </w:t>
      </w:r>
      <w:r w:rsidR="0074203C">
        <w:t>is</w:t>
      </w:r>
      <w:r w:rsidR="007E3BAA">
        <w:t xml:space="preserve"> funda</w:t>
      </w:r>
      <w:r w:rsidR="007F2704">
        <w:t xml:space="preserve">mental to </w:t>
      </w:r>
      <w:r w:rsidR="00F63E5C">
        <w:t xml:space="preserve">clinical </w:t>
      </w:r>
      <w:r w:rsidR="002A05F2">
        <w:t>guide</w:t>
      </w:r>
      <w:r w:rsidR="007F2704">
        <w:t>line development</w:t>
      </w:r>
      <w:r w:rsidR="00686452">
        <w:t>.</w:t>
      </w:r>
      <w:r w:rsidR="000D58AC">
        <w:t xml:space="preserve"> </w:t>
      </w:r>
      <w:r w:rsidR="002A05F2">
        <w:fldChar w:fldCharType="begin"/>
      </w:r>
      <w:r w:rsidR="002A05F2">
        <w:instrText xml:space="preserve"> ADDIN ZOTERO_ITEM CSL_CITATION {"citationID":"c0nOLN4t","properties":{"formattedCitation":"(Turner, 2023)","plainCitation":"(Turner, 2023)","noteIndex":0},"citationItems":[{"id":11712,"uris":["http://zotero.org/groups/4882545/items/RTWW4KAH"],"itemData":{"id":11712,"type":"report","abstract":"This guide includes a tutorial about Evidence-Based Practice (EBP) in Health, a Reference Shelf of supporting eBooks, and a Toolkit of online sources of evidence.","language":"en","license":"Copyright University of Canberra 2023","publisher":"University of Canberra","title":"Evidence-Based Practice in Health: Hierarchy of Evidence","title-short":"UC Library Guides","URL":"https://canberra.libguides.com/c.php?g=599346&amp;p=4149721","author":[{"family":"Turner","given":"Murray"}],"accessed":{"date-parts":[["2023",7,14]]},"issued":{"date-parts":[["2023"]]}}}],"schema":"https://github.com/citation-style-language/schema/raw/master/csl-citation.json"} </w:instrText>
      </w:r>
      <w:r w:rsidR="002A05F2">
        <w:fldChar w:fldCharType="separate"/>
      </w:r>
      <w:r w:rsidR="002A05F2" w:rsidRPr="000D5A3F">
        <w:rPr>
          <w:rFonts w:cs="Calibri"/>
        </w:rPr>
        <w:t>(Turner, 2023)</w:t>
      </w:r>
      <w:r w:rsidR="002A05F2">
        <w:fldChar w:fldCharType="end"/>
      </w:r>
      <w:r w:rsidR="000D58AC">
        <w:t>.</w:t>
      </w:r>
      <w:r w:rsidR="007E3BAA">
        <w:rPr>
          <w:color w:val="000000"/>
        </w:rPr>
        <w:t xml:space="preserve"> </w:t>
      </w:r>
      <w:r w:rsidR="00D66846">
        <w:rPr>
          <w:lang w:val="mi-NZ"/>
        </w:rPr>
        <w:t>T</w:t>
      </w:r>
      <w:r>
        <w:rPr>
          <w:lang w:val="mi-NZ"/>
        </w:rPr>
        <w:t xml:space="preserve">he </w:t>
      </w:r>
      <w:r w:rsidR="00F13EDE">
        <w:rPr>
          <w:lang w:val="mi-NZ"/>
        </w:rPr>
        <w:t xml:space="preserve">CPG of the </w:t>
      </w:r>
      <w:r>
        <w:rPr>
          <w:lang w:val="mi-NZ"/>
        </w:rPr>
        <w:t>US National Academy of Science Health Guildines,</w:t>
      </w:r>
      <w:r w:rsidRPr="00B5566E">
        <w:rPr>
          <w:color w:val="000000"/>
        </w:rPr>
        <w:t xml:space="preserve"> </w:t>
      </w:r>
      <w:r>
        <w:rPr>
          <w:color w:val="000000"/>
        </w:rPr>
        <w:fldChar w:fldCharType="begin"/>
      </w:r>
      <w:r>
        <w:rPr>
          <w:color w:val="000000"/>
        </w:rPr>
        <w:instrText xml:space="preserve"> ADDIN ZOTERO_ITEM CSL_CITATION {"citationID":"vvxm5O3T","properties":{"formattedCitation":"(National Academies, 2011)","plainCitation":"(National Academies, 2011)","noteIndex":0},"citationItems":[{"id":8167,"uris":["http://zotero.org/groups/4882545/items/FUDEDVCS"],"itemData":{"id":8167,"type":"report","abstract":"It proposes eight standards for developing trustworthy clinical practice guidelines emphasizing transparency; management of conflict of interest ; systematic review--guideline development intersection; establishing evidence foundations for and rating strength of guideline recommendations; articulation of recommendations; external review; and updating.\n\nClinical Practice Guidelines We Can Trust shows how clinical practice guidelines can enhance clinician and patient decision-making by translating complex scientific research findings into recommendations for clinical practice that are relevant to the individual patient encounter, instead of implementing a one size fits all approach to patient care","publisher":"National Academies","title":"Clinical Practice Guidelines we can trust.","URL":"https://nap.nationalacademies.org/download/13058","author":[{"family":"National Academies","given":""}],"accessed":{"date-parts":[["2022",10,24]]},"issued":{"date-parts":[["2011"]]}}}],"schema":"https://github.com/citation-style-language/schema/raw/master/csl-citation.json"} </w:instrText>
      </w:r>
      <w:r>
        <w:rPr>
          <w:color w:val="000000"/>
        </w:rPr>
        <w:fldChar w:fldCharType="separate"/>
      </w:r>
      <w:r w:rsidRPr="00A14715">
        <w:rPr>
          <w:rFonts w:cs="Calibri"/>
        </w:rPr>
        <w:t>(National Academies, 2011)</w:t>
      </w:r>
      <w:r>
        <w:rPr>
          <w:color w:val="000000"/>
        </w:rPr>
        <w:fldChar w:fldCharType="end"/>
      </w:r>
      <w:r w:rsidR="00D66846">
        <w:rPr>
          <w:color w:val="000000"/>
        </w:rPr>
        <w:t xml:space="preserve"> and</w:t>
      </w:r>
      <w:r>
        <w:rPr>
          <w:lang w:val="mi-NZ"/>
        </w:rPr>
        <w:t xml:space="preserve"> from the World Health Organisation; </w:t>
      </w:r>
      <w:r>
        <w:rPr>
          <w:color w:val="000000"/>
        </w:rPr>
        <w:fldChar w:fldCharType="begin"/>
      </w:r>
      <w:r>
        <w:rPr>
          <w:color w:val="000000"/>
        </w:rPr>
        <w:instrText xml:space="preserve"> ADDIN ZOTERO_ITEM CSL_CITATION {"citationID":"64boek1Y","properties":{"formattedCitation":"(World Health Organisation, 2014)","plainCitation":"(World Health Organisation, 2014)","noteIndex":0},"citationItems":[{"id":11653,"uris":["http://zotero.org/groups/4882545/items/JXJ5JQSM"],"itemData":{"id":11653,"type":"report","publisher":"World Health Organisation","title":"WHO handbook for guideline development, 2nd Edition","URL":"https://www.who.int/publications-detail-redirect/9789241548960","author":[{"family":"World Health Organisation","given":""}],"accessed":{"date-parts":[["2023",7,9]]},"issued":{"date-parts":[["2014",12,18]]}}}],"schema":"https://github.com/citation-style-language/schema/raw/master/csl-citation.json"} </w:instrText>
      </w:r>
      <w:r>
        <w:rPr>
          <w:color w:val="000000"/>
        </w:rPr>
        <w:fldChar w:fldCharType="separate"/>
      </w:r>
      <w:r w:rsidRPr="00F83EE5">
        <w:rPr>
          <w:rFonts w:cs="Calibri"/>
        </w:rPr>
        <w:t>(World Health Organisation, 2014)</w:t>
      </w:r>
      <w:r>
        <w:rPr>
          <w:color w:val="000000"/>
        </w:rPr>
        <w:fldChar w:fldCharType="end"/>
      </w:r>
      <w:r>
        <w:rPr>
          <w:color w:val="000000"/>
        </w:rPr>
        <w:t xml:space="preserve"> </w:t>
      </w:r>
      <w:r w:rsidR="00566FA1">
        <w:rPr>
          <w:color w:val="000000"/>
        </w:rPr>
        <w:t xml:space="preserve">for example </w:t>
      </w:r>
      <w:r w:rsidR="00D66846">
        <w:rPr>
          <w:color w:val="000000"/>
        </w:rPr>
        <w:t xml:space="preserve">were used in the creation of WPATH’s </w:t>
      </w:r>
      <w:r w:rsidR="00765556">
        <w:rPr>
          <w:color w:val="000000"/>
        </w:rPr>
        <w:t>2022 Standards of Care (</w:t>
      </w:r>
      <w:r w:rsidR="00A30F41">
        <w:rPr>
          <w:color w:val="000000"/>
        </w:rPr>
        <w:t xml:space="preserve">WPATH </w:t>
      </w:r>
      <w:r w:rsidR="00D66846">
        <w:rPr>
          <w:color w:val="000000"/>
        </w:rPr>
        <w:t>SOC 8</w:t>
      </w:r>
      <w:r w:rsidR="00314776">
        <w:rPr>
          <w:color w:val="000000"/>
        </w:rPr>
        <w:t>)</w:t>
      </w:r>
      <w:r w:rsidR="00B13915">
        <w:rPr>
          <w:color w:val="000000"/>
        </w:rPr>
        <w:t>.</w:t>
      </w:r>
      <w:r w:rsidR="00765556">
        <w:rPr>
          <w:color w:val="000000"/>
        </w:rPr>
        <w:fldChar w:fldCharType="begin"/>
      </w:r>
      <w:r w:rsidR="00765556">
        <w:rPr>
          <w:color w:val="000000"/>
        </w:rPr>
        <w:instrText xml:space="preserve"> ADDIN ZOTERO_ITEM CSL_CITATION {"citationID":"ooopeKs0","properties":{"formattedCitation":"(Coleman et al., 2022)","plainCitation":"(Coleman et al., 2022)","noteIndex":0},"citationItems":[{"id":8204,"uris":["http://zotero.org/groups/4882545/items/J4G3UBVH"],"itemData":{"id":8204,"type":"article-journal","abstract":"Background: Transgender healthcare is a rapidly evolving interdisciplinary field. In the last decade, there has been an unprecedented increase in the number and visibility of transgender and gender diverse (TGD) people seeking support and gender-affirming medical treatment in parallel with a significant rise in the scientific literature in this area. The World Professional Association for Transgender Health (WPATH) is an international, multidisciplinary, professional association whose mission is to promote evidence-based care, education, research, public policy, and respect in transgender health. One of the main functions of WPATH is to promote the highest standards of health care for TGD people through the Standards of Care (SOC). The SOC was initially developed in 1979 and the last version (SOC-7) was published in 2012. In view of the increasing scientific evidence, WPATH commissioned a new version of the Standards of Care, the SOC-8. Aim: The overall goal of SOC-8 is to provide health care professionals (HCPs) with clinical guidance to assist TGD people in accessing safe and effective pathways to achieving lasting personal comfort with their gendered selves with the aim of optimizing their overall physical health, psychological well-being, and self-fulfillment.\nMethods: The SOC-8 is based on the best available science and expert professional consensus in transgender health. International professionals and stakeholders were selected to serve on the SOC-8 committee. Recommendation statements were developed based on data derived from independent systematic literature reviews, where available, background reviews and expert opinions. Grading of recommendations was based on the available evidence supporting interventions, a discussion of risks and harms, as well as the feasibility and acceptability within different contexts and country settings.\nResults: A total of 18 chapters were developed as part of the SOC-8. They contain recommendations for health care professionals who provide care and treatment for TGD people. Each of the recommendations is followed by explanatory text with relevant references. General areas related to transgender health are covered in the chapters Terminology, Global Applicability, Population Estimates, and Education. The chapters developed for the diverse population of TGD people include Assessment of Adults, Adolescents, Children, Nonbinary, Eunuchs, and Intersex Individuals, and people living in Institutional Environments. Finally, the chapters related to gender-affirming treatment are Hormone Therapy, Surgery and Postoperative Care, Voice and Communication, Primary Care, Reproductive Health, Sexual Health, and Mental Health.\nConclusions: The SOC-8 guidelines are intended to be flexible to meet the diverse health care needs of TGD people globally. While adaptable, they offer standards for promoting optimal health care and guidance for the treatment of people experiencing gender incongruence. As in all previous versions of the SOC, the criteria set forth in this document for gender-affirming medical interventions are clinical guidelines; individual health care professionals and programs may modify these in consultation with the TGD person.  WPATH Soc8","container-title":"International Journal of Transgender Health","DOI":"10.1080/26895269.2022.2100644","ISSN":"2689-5269","issue":"sup1","journalAbbreviation":"International Journal of Transgender Health","language":"en","page":"S1-S259","source":"DOI.org (Crossref)","title":"Standards of Care for the Health of Transgender and Gender Diverse People, Version 8","URL":"https://www.tandfonline.com/doi/full/10.1080/26895269.2022.2100644","volume":"23","author":[{"family":"Coleman","given":"E."},{"family":"Radix","given":"A. E."},{"family":"Bouman","given":"W. P."},{"family":"Brown","given":"G. R."},{"family":"Vries","given":"A. L. C.","non-dropping-particle":"de"},{"family":"Deutsch","given":"M. B."},{"family":"Ettner","given":"R."},{"family":"Fraser","given":"L."},{"family":"Goodman","given":"M."},{"family":"Green","given":"J."},{"family":"Hancock","given":"A. B."},{"family":"Johnson","given":"T. W."},{"family":"Karasic","given":"D. H."},{"family":"Knudson","given":"G. A."},{"family":"Leibowitz","given":"S. F."},{"family":"Meyer-Bahlburg","given":"H. F. L."},{"family":"Monstrey","given":"S. J."},{"family":"Motmans","given":"J."},{"family":"Nahata","given":"L."},{"family":"Nieder","given":"T. O."},{"family":"Reisner","given":"S. L."},{"family":"Richards","given":"C."},{"family":"Schechter","given":"L. S."},{"family":"Tangpricha","given":"V."},{"family":"Tishelman","given":"A. C."},{"family":"Van Trotsenburg","given":"M. A. A."},{"family":"Winter","given":"S."},{"family":"Ducheny","given":"K."},{"family":"Adams","given":"N. J."},{"family":"Adrián","given":"T. M."},{"family":"Allen","given":"L. R."},{"family":"Azul","given":"D."},{"family":"Bagga","given":"H."},{"family":"Başar","given":"K."},{"family":"Bathory","given":"D. S."},{"family":"Belinky","given":"J. J."},{"family":"Berg","given":"D. R."},{"family":"Berli","given":"J. U."},{"family":"Bluebond-Langner","given":"R. O."},{"family":"Bouman","given":"M.-B."},{"family":"Bowers","given":"M. L."},{"family":"Brassard","given":"P. J."},{"family":"Byrne","given":"J."},{"family":"Capitán","given":"L."},{"family":"Cargill","given":"C. J."},{"family":"Carswell","given":"J. M."},{"family":"Chang","given":"S. C."},{"family":"Chelvakumar","given":"G."},{"family":"Corneil","given":"T."},{"family":"Dalke","given":"K. B."},{"family":"De Cuypere","given":"G."},{"family":"Vries","given":"E.","non-dropping-particle":"de"},{"family":"Den Heijer","given":"M."},{"family":"Devor","given":"A. H."},{"family":"Dhejne","given":"C."},{"family":"D’Marco","given":"A."},{"family":"Edmiston","given":"E. K."},{"family":"Edwards-Leeper","given":"L."},{"family":"Ehrbar","given":"R."},{"family":"Ehrensaft","given":"D."},{"family":"Eisfeld","given":"J."},{"family":"Elaut","given":"E."},{"family":"Erickson-Schroth","given":"L."},{"family":"Feldman","given":"J. L."},{"family":"Fisher","given":"A. D."},{"family":"Garcia","given":"M. M."},{"family":"Gijs","given":"L."},{"family":"Green","given":"S. E."},{"family":"Hall","given":"B. P."},{"family":"Hardy","given":"T. L. D."},{"family":"Irwig","given":"M. S."},{"family":"Jacobs","given":"L. A."},{"family":"Janssen","given":"A. C."},{"family":"Johnson","given":"K."},{"family":"Klink","given":"D. T."},{"family":"Kreukels","given":"B. P. C."},{"family":"Kuper","given":"L. E."},{"family":"Kvach","given":"E. J."},{"family":"Malouf","given":"M. A."},{"family":"Massey","given":"R."},{"family":"Mazur","given":"T."},{"family":"McLachlan","given":"C."},{"family":"Morrison","given":"S. D."},{"family":"Mosser","given":"S. W."},{"family":"Neira","given":"P. M."},{"family":"Nygren","given":"U."},{"family":"Oates","given":"J. M."},{"family":"Obedin-Maliver","given":"J."},{"family":"Pagkalos","given":"G."},{"family":"Patton","given":"J."},{"family":"Phanuphak","given":"N."},{"family":"Rachlin","given":"K."},{"family":"Reed","given":"T."},{"family":"Rider","given":"G. N."},{"family":"Ristori","given":"J."},{"family":"Robbins-Cherry","given":"S."},{"family":"Roberts","given":"S. A."},{"family":"Rodriguez-Wallberg","given":"K. A."},{"family":"Rosenthal","given":"S. M."},{"family":"Sabir","given":"K."},{"family":"Safer","given":"J. D."},{"family":"Scheim","given":"A. I."},{"family":"Seal","given":"L. J."},{"family":"Sehoole","given":"T. J."},{"family":"Spencer","given":"K."},{"family":"St. Amand","given":"C."},{"family":"Steensma","given":"T. D."},{"family":"Strang","given":"J. F."},{"family":"Taylor","given":"G. B."},{"family":"Tilleman","given":"K."},{"family":"T’Sjoen","given":"G. G."},{"family":"Vala","given":"L. N."},{"family":"Van Mello","given":"N. M."},{"family":"Veale","given":"J. F."},{"family":"Vencill","given":"J. A."},{"family":"Vincent","given":"B."},{"family":"Wesp","given":"L. M."},{"family":"West","given":"M. A."},{"family":"Arcelus","given":"J."}],"accessed":{"date-parts":[["2022",10,2]]},"issued":{"date-parts":[["2022",8,19]]}}}],"schema":"https://github.com/citation-style-language/schema/raw/master/csl-citation.json"} </w:instrText>
      </w:r>
      <w:r w:rsidR="00765556">
        <w:rPr>
          <w:color w:val="000000"/>
        </w:rPr>
        <w:fldChar w:fldCharType="separate"/>
      </w:r>
      <w:r w:rsidR="00765556" w:rsidRPr="00765556">
        <w:rPr>
          <w:rFonts w:cs="Calibri"/>
        </w:rPr>
        <w:t>(Coleman et al., 2022)</w:t>
      </w:r>
      <w:r w:rsidR="00765556">
        <w:rPr>
          <w:color w:val="000000"/>
        </w:rPr>
        <w:fldChar w:fldCharType="end"/>
      </w:r>
      <w:r>
        <w:rPr>
          <w:color w:val="000000"/>
        </w:rPr>
        <w:t xml:space="preserve"> </w:t>
      </w:r>
      <w:r w:rsidR="00AA277C">
        <w:rPr>
          <w:color w:val="000000"/>
        </w:rPr>
        <w:t xml:space="preserve">The </w:t>
      </w:r>
      <w:r>
        <w:rPr>
          <w:color w:val="000000"/>
        </w:rPr>
        <w:t xml:space="preserve">AGREE </w:t>
      </w:r>
      <w:r w:rsidR="00AA277C">
        <w:rPr>
          <w:color w:val="000000"/>
        </w:rPr>
        <w:t xml:space="preserve">Collaboration </w:t>
      </w:r>
      <w:r>
        <w:rPr>
          <w:color w:val="000000"/>
        </w:rPr>
        <w:t xml:space="preserve">is a charitable Trust founded in 2004 </w:t>
      </w:r>
      <w:r>
        <w:t>by a group of international guideline developers and researchers</w:t>
      </w:r>
      <w:r w:rsidR="00C92D26">
        <w:t xml:space="preserve"> to create</w:t>
      </w:r>
      <w:r w:rsidR="009C0AB9">
        <w:t xml:space="preserve"> a tool to assess the quality of guidelines</w:t>
      </w:r>
      <w:r w:rsidR="00C92D26">
        <w:t xml:space="preserve"> </w:t>
      </w:r>
      <w:r>
        <w:fldChar w:fldCharType="begin"/>
      </w:r>
      <w:r>
        <w:instrText xml:space="preserve"> ADDIN ZOTERO_ITEM CSL_CITATION {"citationID":"LhoNOBrm","properties":{"formattedCitation":"(AGREE, 2017)","plainCitation":"(AGREE, 2017)","noteIndex":0},"citationItems":[{"id":7719,"uris":["http://zotero.org/groups/4882545/items/KSZJQJPZ"],"itemData":{"id":7719,"type":"report","license":"xxx","title":"AGREE II Users Manual and 23 item Instrument","URL":"https://www.agreetrust.org/wp-content/uploads/2017/12/AGREE-II-Users-Manual-and-23-item-Instrument-2009-Update-2017.pdf","author":[{"literal":"AGREE"}],"accessed":{"date-parts":[["2022",10,23]]},"issued":{"date-parts":[["2017"]]}}}],"schema":"https://github.com/citation-style-language/schema/raw/master/csl-citation.json"} </w:instrText>
      </w:r>
      <w:r>
        <w:fldChar w:fldCharType="separate"/>
      </w:r>
      <w:r w:rsidRPr="007A2C2F">
        <w:rPr>
          <w:rFonts w:cs="Calibri"/>
        </w:rPr>
        <w:t>(AGREE, 2017)</w:t>
      </w:r>
      <w:r>
        <w:fldChar w:fldCharType="end"/>
      </w:r>
      <w:r w:rsidR="000D58AC">
        <w:t>.</w:t>
      </w:r>
      <w:r>
        <w:t xml:space="preserve"> </w:t>
      </w:r>
      <w:r w:rsidR="000D58AC">
        <w:t>I</w:t>
      </w:r>
      <w:r>
        <w:t xml:space="preserve">t </w:t>
      </w:r>
      <w:r w:rsidR="00AA277C">
        <w:t xml:space="preserve">has also been </w:t>
      </w:r>
      <w:r>
        <w:t xml:space="preserve">used as a guide to </w:t>
      </w:r>
      <w:r w:rsidR="009C0AB9">
        <w:t xml:space="preserve">guideline </w:t>
      </w:r>
      <w:r>
        <w:t xml:space="preserve">creation. </w:t>
      </w:r>
    </w:p>
    <w:p w14:paraId="5BE411B5" w14:textId="11D19588" w:rsidR="008073EC" w:rsidRDefault="00F7551C" w:rsidP="00885484">
      <w:pPr>
        <w:rPr>
          <w:i/>
          <w:iCs/>
        </w:rPr>
      </w:pPr>
      <w:r>
        <w:t>I</w:t>
      </w:r>
      <w:r w:rsidR="008073EC">
        <w:t>n New Zealand</w:t>
      </w:r>
      <w:r w:rsidR="00A335EC">
        <w:t xml:space="preserve"> however</w:t>
      </w:r>
      <w:r w:rsidR="008073EC">
        <w:t xml:space="preserve"> there appears to </w:t>
      </w:r>
      <w:r w:rsidR="00115B94">
        <w:t xml:space="preserve">be </w:t>
      </w:r>
      <w:r w:rsidR="008073EC">
        <w:t xml:space="preserve">no requirement </w:t>
      </w:r>
      <w:r w:rsidR="00487FCB">
        <w:t xml:space="preserve">for </w:t>
      </w:r>
      <w:r w:rsidR="00417AA2">
        <w:t xml:space="preserve">clinical </w:t>
      </w:r>
      <w:r w:rsidR="008073EC">
        <w:t xml:space="preserve">guidelines </w:t>
      </w:r>
      <w:r w:rsidR="0074203C">
        <w:t>to be</w:t>
      </w:r>
      <w:r w:rsidR="008073EC">
        <w:t xml:space="preserve"> created to meet a</w:t>
      </w:r>
      <w:r w:rsidR="0004312A">
        <w:t xml:space="preserve">ny </w:t>
      </w:r>
      <w:r w:rsidR="00917BAD">
        <w:t xml:space="preserve">established </w:t>
      </w:r>
      <w:r w:rsidR="00167400">
        <w:t>standard</w:t>
      </w:r>
      <w:r w:rsidR="008073EC">
        <w:t>. The New Zealand Guidelines Group (NZGG) went into receivership in 2012</w:t>
      </w:r>
      <w:r w:rsidR="008073EC">
        <w:fldChar w:fldCharType="begin"/>
      </w:r>
      <w:r w:rsidR="008073EC">
        <w:instrText xml:space="preserve"> ADDIN ZOTERO_ITEM CSL_CITATION {"citationID":"gSaAFqLJ","properties":{"formattedCitation":"(ANZ Guideline Network, 2020)","plainCitation":"(ANZ Guideline Network, 2020)","noteIndex":0},"citationItems":[{"id":11659,"uris":["http://zotero.org/groups/4882545/items/U2XXB5ET"],"itemData":{"id":11659,"type":"webpage","abstract":"Australia and New Zealand have a long history of developing high-quality evidence-based guidelines. The New Zealand Guidelines Group (1999-2012) was one of the first independent agencies to be established to promote the use of evidence in the delivery of health and disability services in the region. The NZ guidelines group was decommissioned in...","language":"en-us","title":"ANZ Guidelines","title-short":"ANZ Guidelines","URL":"https://anz-guideline-network.webnode.page/anz-guidelines/","author":[{"family":"ANZ Guideline Network","given":""}],"accessed":{"date-parts":[["2023",7,10]]},"issued":{"date-parts":[["2020",8,25]]}}}],"schema":"https://github.com/citation-style-language/schema/raw/master/csl-citation.json"} </w:instrText>
      </w:r>
      <w:r w:rsidR="008073EC">
        <w:fldChar w:fldCharType="separate"/>
      </w:r>
      <w:r w:rsidR="008073EC" w:rsidRPr="001925B8">
        <w:rPr>
          <w:rFonts w:cs="Calibri"/>
        </w:rPr>
        <w:t>(ANZ Guideline Network, 2020)</w:t>
      </w:r>
      <w:r w:rsidR="008073EC">
        <w:fldChar w:fldCharType="end"/>
      </w:r>
      <w:r w:rsidR="008073EC">
        <w:t xml:space="preserve"> and has not been replaced</w:t>
      </w:r>
      <w:r w:rsidR="0074203C">
        <w:t>. A</w:t>
      </w:r>
      <w:r w:rsidR="008073EC">
        <w:t>n Austral</w:t>
      </w:r>
      <w:r w:rsidR="00573939">
        <w:t>ia</w:t>
      </w:r>
      <w:r w:rsidR="008073EC">
        <w:t xml:space="preserve"> / New Zealand group exists</w:t>
      </w:r>
      <w:r w:rsidR="000D58AC">
        <w:t>,</w:t>
      </w:r>
      <w:r w:rsidR="008073EC">
        <w:t xml:space="preserve"> </w:t>
      </w:r>
      <w:r w:rsidR="008073EC">
        <w:fldChar w:fldCharType="begin"/>
      </w:r>
      <w:r w:rsidR="008073EC">
        <w:instrText xml:space="preserve"> ADDIN ZOTERO_ITEM CSL_CITATION {"citationID":"jjYtE5p6","properties":{"formattedCitation":"(ANZ Guideline Network, 2020)","plainCitation":"(ANZ Guideline Network, 2020)","noteIndex":0},"citationItems":[{"id":11659,"uris":["http://zotero.org/groups/4882545/items/U2XXB5ET"],"itemData":{"id":11659,"type":"webpage","abstract":"Australia and New Zealand have a long history of developing high-quality evidence-based guidelines. The New Zealand Guidelines Group (1999-2012) was one of the first independent agencies to be established to promote the use of evidence in the delivery of health and disability services in the region. The NZ guidelines group was decommissioned in...","language":"en-us","title":"ANZ Guidelines","title-short":"ANZ Guidelines","URL":"https://anz-guideline-network.webnode.page/anz-guidelines/","author":[{"family":"ANZ Guideline Network","given":""}],"accessed":{"date-parts":[["2023",7,10]]},"issued":{"date-parts":[["2020",8,25]]}}}],"schema":"https://github.com/citation-style-language/schema/raw/master/csl-citation.json"} </w:instrText>
      </w:r>
      <w:r w:rsidR="008073EC">
        <w:fldChar w:fldCharType="separate"/>
      </w:r>
      <w:r w:rsidR="008073EC" w:rsidRPr="00C251B7">
        <w:rPr>
          <w:rFonts w:cs="Calibri"/>
        </w:rPr>
        <w:t>(ANZ Guideline Network, 2020)</w:t>
      </w:r>
      <w:r w:rsidR="008073EC">
        <w:fldChar w:fldCharType="end"/>
      </w:r>
      <w:r w:rsidR="008073EC">
        <w:t xml:space="preserve"> as well as a voluntary ‘best practice’</w:t>
      </w:r>
      <w:r w:rsidR="0074203C">
        <w:t xml:space="preserve"> organisation BPAC</w:t>
      </w:r>
      <w:r w:rsidR="00F22887">
        <w:t>.</w:t>
      </w:r>
      <w:r w:rsidR="00ED69E6">
        <w:t xml:space="preserve"> </w:t>
      </w:r>
      <w:r w:rsidR="008073EC">
        <w:fldChar w:fldCharType="begin"/>
      </w:r>
      <w:r w:rsidR="008073EC">
        <w:instrText xml:space="preserve"> ADDIN ZOTERO_ITEM CSL_CITATION {"citationID":"mJwo872w","properties":{"formattedCitation":"(BPACNZ, n.d.)","plainCitation":"(BPACNZ, n.d.)","noteIndex":0},"citationItems":[{"id":11677,"uris":["http://zotero.org/groups/4882545/items/RFDPIMQL"],"itemData":{"id":11677,"type":"report","abstract":"Allows overseas guiudelines to be propduced for NZ","publisher":"BPACNZ","title":"Guideline development process","URL":"https://bpac.org.nz/guidelines/development-process.html","author":[{"family":"BPACNZ","given":""}],"accessed":{"date-parts":[["2023",7,11]]}}}],"schema":"https://github.com/citation-style-language/schema/raw/master/csl-citation.json"} </w:instrText>
      </w:r>
      <w:r w:rsidR="008073EC">
        <w:fldChar w:fldCharType="separate"/>
      </w:r>
      <w:r w:rsidR="008073EC" w:rsidRPr="00FA0EBA">
        <w:rPr>
          <w:rFonts w:cs="Calibri"/>
        </w:rPr>
        <w:t>(BPACNZ, n.d.)</w:t>
      </w:r>
      <w:r w:rsidR="008073EC">
        <w:fldChar w:fldCharType="end"/>
      </w:r>
      <w:r w:rsidR="002B5F3E">
        <w:t xml:space="preserve">  </w:t>
      </w:r>
      <w:r w:rsidR="00B54ECB">
        <w:t>BPAC’S</w:t>
      </w:r>
      <w:r w:rsidR="008073EC">
        <w:t xml:space="preserve"> </w:t>
      </w:r>
      <w:r w:rsidR="003510E4">
        <w:t xml:space="preserve">CPG </w:t>
      </w:r>
      <w:r w:rsidR="008073EC">
        <w:t>development</w:t>
      </w:r>
      <w:r w:rsidR="00C50DB8">
        <w:t xml:space="preserve"> </w:t>
      </w:r>
      <w:r w:rsidR="00ED69E6">
        <w:t>approach</w:t>
      </w:r>
      <w:r w:rsidR="0052374E">
        <w:t xml:space="preserve"> </w:t>
      </w:r>
      <w:r w:rsidR="008073EC">
        <w:t xml:space="preserve">is adapted </w:t>
      </w:r>
      <w:r w:rsidR="0074203C">
        <w:t xml:space="preserve">from the </w:t>
      </w:r>
      <w:r w:rsidR="008073EC">
        <w:t>UK National Institute for Clinical Excellence</w:t>
      </w:r>
      <w:r w:rsidR="0074203C">
        <w:t xml:space="preserve"> (NICE)</w:t>
      </w:r>
      <w:r w:rsidR="008073EC">
        <w:t>.  In recognition of New Zealand’s small population, budgetary constraints</w:t>
      </w:r>
      <w:r w:rsidR="00EE5F31">
        <w:t xml:space="preserve"> and</w:t>
      </w:r>
      <w:r w:rsidR="00D143FB">
        <w:t xml:space="preserve"> </w:t>
      </w:r>
      <w:r w:rsidR="008073EC">
        <w:t xml:space="preserve">indigenous </w:t>
      </w:r>
      <w:r w:rsidR="00C124F8">
        <w:t>culture,</w:t>
      </w:r>
      <w:r w:rsidR="008073EC">
        <w:t xml:space="preserve"> BPAC allows </w:t>
      </w:r>
      <w:r w:rsidR="00513575">
        <w:t xml:space="preserve">international </w:t>
      </w:r>
      <w:r w:rsidR="001F5F03">
        <w:t>CPG</w:t>
      </w:r>
      <w:r w:rsidR="008073EC">
        <w:t xml:space="preserve"> to be adapted for local use. </w:t>
      </w:r>
      <w:r w:rsidR="00AA5B0E">
        <w:t>(</w:t>
      </w:r>
      <w:r w:rsidR="00AA5B0E" w:rsidRPr="00FA0EBA">
        <w:rPr>
          <w:rFonts w:cs="Calibri"/>
        </w:rPr>
        <w:t>BPACNZ</w:t>
      </w:r>
      <w:r w:rsidR="00AA5B0E">
        <w:rPr>
          <w:rFonts w:cs="Calibri"/>
        </w:rPr>
        <w:t>, n.d.)</w:t>
      </w:r>
    </w:p>
    <w:p w14:paraId="5FFA5D97" w14:textId="595EE430" w:rsidR="009D440F" w:rsidRPr="009D440F" w:rsidRDefault="005E65D2" w:rsidP="00885484">
      <w:pPr>
        <w:pStyle w:val="Heading2"/>
      </w:pPr>
      <w:bookmarkStart w:id="25" w:name="_Toc140574831"/>
      <w:bookmarkStart w:id="26" w:name="_Toc143668009"/>
      <w:bookmarkStart w:id="27" w:name="_Toc145238122"/>
      <w:bookmarkStart w:id="28" w:name="_Toc156044302"/>
      <w:r>
        <w:t xml:space="preserve">Assessing </w:t>
      </w:r>
      <w:r w:rsidR="009D440F">
        <w:t xml:space="preserve">PATHA’s Guideline </w:t>
      </w:r>
      <w:r w:rsidR="00A936BF">
        <w:t xml:space="preserve">for compliance </w:t>
      </w:r>
      <w:r w:rsidR="008073EC">
        <w:t xml:space="preserve">with </w:t>
      </w:r>
      <w:r w:rsidR="00917225">
        <w:t xml:space="preserve">Clinical Practice </w:t>
      </w:r>
      <w:r w:rsidR="008073EC">
        <w:t>Guideline</w:t>
      </w:r>
      <w:bookmarkEnd w:id="25"/>
      <w:r w:rsidR="009D440F">
        <w:t xml:space="preserve"> standards</w:t>
      </w:r>
      <w:bookmarkEnd w:id="26"/>
      <w:bookmarkEnd w:id="27"/>
      <w:bookmarkEnd w:id="28"/>
    </w:p>
    <w:p w14:paraId="211BF588" w14:textId="671BC5EA" w:rsidR="00FF492B" w:rsidRDefault="00D92E8E" w:rsidP="00885484">
      <w:r>
        <w:t xml:space="preserve">The criteria for the three </w:t>
      </w:r>
      <w:r w:rsidR="00917225">
        <w:t>CPG</w:t>
      </w:r>
      <w:r>
        <w:t xml:space="preserve"> development tools listed </w:t>
      </w:r>
      <w:r w:rsidR="007E2261">
        <w:t>above</w:t>
      </w:r>
      <w:r>
        <w:t xml:space="preserve"> were</w:t>
      </w:r>
      <w:r w:rsidR="003216FD">
        <w:t xml:space="preserve"> searched for </w:t>
      </w:r>
      <w:r w:rsidR="0045323B">
        <w:t>g</w:t>
      </w:r>
      <w:r w:rsidR="003216FD">
        <w:t xml:space="preserve">uideline creation </w:t>
      </w:r>
      <w:r w:rsidR="0045323B">
        <w:t>steps</w:t>
      </w:r>
      <w:r>
        <w:t xml:space="preserve">. </w:t>
      </w:r>
      <w:r w:rsidR="00EE12B9">
        <w:t>A</w:t>
      </w:r>
      <w:r w:rsidR="00EC1737">
        <w:t xml:space="preserve"> summary of the </w:t>
      </w:r>
      <w:r w:rsidR="005D4DF0">
        <w:t>CPG’s</w:t>
      </w:r>
      <w:r w:rsidR="00EC1737">
        <w:t xml:space="preserve"> method</w:t>
      </w:r>
      <w:r w:rsidR="00EE12B9">
        <w:t>ology</w:t>
      </w:r>
      <w:r w:rsidR="00EC1737">
        <w:t xml:space="preserve"> was used to identify the common features. </w:t>
      </w:r>
      <w:r w:rsidR="00FE4C21">
        <w:t>E</w:t>
      </w:r>
      <w:r w:rsidR="007E2B92">
        <w:t>ight</w:t>
      </w:r>
      <w:r w:rsidR="00FE4C21">
        <w:t xml:space="preserve"> </w:t>
      </w:r>
      <w:r w:rsidR="000C4A07">
        <w:t>steps</w:t>
      </w:r>
      <w:r w:rsidR="0045323B">
        <w:t xml:space="preserve"> were identifi</w:t>
      </w:r>
      <w:r w:rsidR="00FE4C21">
        <w:t>ed</w:t>
      </w:r>
      <w:r w:rsidR="0045323B">
        <w:t xml:space="preserve"> as being common to all three </w:t>
      </w:r>
      <w:r w:rsidR="00FE4C21">
        <w:t xml:space="preserve">of the </w:t>
      </w:r>
      <w:r w:rsidR="00485862">
        <w:t>CPG</w:t>
      </w:r>
      <w:r w:rsidR="0045323B">
        <w:t xml:space="preserve"> </w:t>
      </w:r>
      <w:r w:rsidR="00FE4C21">
        <w:t>tools</w:t>
      </w:r>
      <w:r w:rsidR="00653BF3">
        <w:t xml:space="preserve">. </w:t>
      </w:r>
      <w:r w:rsidR="00DD7B71">
        <w:t xml:space="preserve">This analysis is presented in a tabular format as Appendix 2. </w:t>
      </w:r>
      <w:r>
        <w:t xml:space="preserve">The </w:t>
      </w:r>
      <w:r w:rsidR="00A91172">
        <w:t xml:space="preserve">discussion below </w:t>
      </w:r>
      <w:r w:rsidR="00DE0D41">
        <w:t>assess</w:t>
      </w:r>
      <w:r w:rsidR="00086A39">
        <w:t>es</w:t>
      </w:r>
      <w:r w:rsidR="00DE0D41">
        <w:t xml:space="preserve"> </w:t>
      </w:r>
      <w:r w:rsidR="00867D71">
        <w:t>t</w:t>
      </w:r>
      <w:r w:rsidR="00DE0D41">
        <w:t xml:space="preserve">he </w:t>
      </w:r>
      <w:r>
        <w:t xml:space="preserve">PATHA guideline against </w:t>
      </w:r>
      <w:r w:rsidR="00EF2A05">
        <w:t>the</w:t>
      </w:r>
      <w:r w:rsidR="00815223">
        <w:t xml:space="preserve"> </w:t>
      </w:r>
      <w:r w:rsidR="000C4A07">
        <w:t>steps</w:t>
      </w:r>
      <w:r w:rsidR="009F3890">
        <w:t xml:space="preserve"> which are</w:t>
      </w:r>
      <w:r w:rsidR="00F22887">
        <w:t>:</w:t>
      </w:r>
    </w:p>
    <w:p w14:paraId="66209719" w14:textId="60D7BE76" w:rsidR="00FF492B" w:rsidRPr="004E2AED" w:rsidRDefault="00FF492B" w:rsidP="006D64E1">
      <w:pPr>
        <w:pStyle w:val="ListParagraph"/>
        <w:numPr>
          <w:ilvl w:val="0"/>
          <w:numId w:val="18"/>
        </w:numPr>
      </w:pPr>
      <w:r w:rsidRPr="004E2AED">
        <w:t xml:space="preserve">Establishing the nature of the condition </w:t>
      </w:r>
      <w:r w:rsidR="00F2261C" w:rsidRPr="004E2AED">
        <w:t>and/</w:t>
      </w:r>
      <w:r w:rsidRPr="004E2AED">
        <w:t>or the affected pop</w:t>
      </w:r>
      <w:r w:rsidR="00FC5997" w:rsidRPr="004E2AED">
        <w:t>u</w:t>
      </w:r>
      <w:r w:rsidRPr="004E2AED">
        <w:t>lation</w:t>
      </w:r>
    </w:p>
    <w:p w14:paraId="0B51756C" w14:textId="4A195D79" w:rsidR="00FF492B" w:rsidRPr="004E2AED" w:rsidRDefault="00EA62C6" w:rsidP="006D64E1">
      <w:pPr>
        <w:pStyle w:val="ListParagraph"/>
        <w:numPr>
          <w:ilvl w:val="0"/>
          <w:numId w:val="18"/>
        </w:numPr>
      </w:pPr>
      <w:r w:rsidRPr="004E2AED">
        <w:t xml:space="preserve">Creating a </w:t>
      </w:r>
      <w:r w:rsidR="00FF492B" w:rsidRPr="004E2AED">
        <w:t>knowledgable and multidisciplinary panel across skill</w:t>
      </w:r>
      <w:r w:rsidR="0052374E" w:rsidRPr="004E2AED">
        <w:t xml:space="preserve"> </w:t>
      </w:r>
      <w:r w:rsidR="00FF492B" w:rsidRPr="004E2AED">
        <w:t>areas and viewpoints.</w:t>
      </w:r>
    </w:p>
    <w:p w14:paraId="4F1273D2" w14:textId="644CC9E2" w:rsidR="00FF492B" w:rsidRPr="004E2AED" w:rsidRDefault="00FF492B" w:rsidP="006D64E1">
      <w:pPr>
        <w:pStyle w:val="ListParagraph"/>
        <w:numPr>
          <w:ilvl w:val="0"/>
          <w:numId w:val="18"/>
        </w:numPr>
      </w:pPr>
      <w:r w:rsidRPr="004E2AED">
        <w:lastRenderedPageBreak/>
        <w:t>Consider</w:t>
      </w:r>
      <w:r w:rsidR="00E12AAF" w:rsidRPr="004E2AED">
        <w:t>ing</w:t>
      </w:r>
      <w:r w:rsidRPr="004E2AED">
        <w:t xml:space="preserve"> </w:t>
      </w:r>
      <w:r w:rsidR="00F01549" w:rsidRPr="004E2AED">
        <w:t>p</w:t>
      </w:r>
      <w:r w:rsidRPr="004E2AED">
        <w:t xml:space="preserve">atient </w:t>
      </w:r>
      <w:r w:rsidR="00F01549" w:rsidRPr="004E2AED">
        <w:t xml:space="preserve">and clinician </w:t>
      </w:r>
      <w:r w:rsidRPr="004E2AED">
        <w:t>subgroups and preferences</w:t>
      </w:r>
    </w:p>
    <w:p w14:paraId="11F212FD" w14:textId="53606813" w:rsidR="00FF492B" w:rsidRPr="004E2AED" w:rsidRDefault="00EA62C6" w:rsidP="006D64E1">
      <w:pPr>
        <w:pStyle w:val="ListParagraph"/>
        <w:numPr>
          <w:ilvl w:val="0"/>
          <w:numId w:val="18"/>
        </w:numPr>
      </w:pPr>
      <w:r w:rsidRPr="004E2AED">
        <w:t>Carry</w:t>
      </w:r>
      <w:r w:rsidR="00E12AAF" w:rsidRPr="004E2AED">
        <w:t>ing</w:t>
      </w:r>
      <w:r w:rsidRPr="004E2AED">
        <w:t xml:space="preserve"> out a</w:t>
      </w:r>
      <w:r w:rsidR="00FF492B" w:rsidRPr="004E2AED">
        <w:t xml:space="preserve"> systematic review of the evidence</w:t>
      </w:r>
    </w:p>
    <w:p w14:paraId="0ECF2345" w14:textId="0AD9CCBE" w:rsidR="00FF492B" w:rsidRPr="004E2AED" w:rsidRDefault="00F6372D" w:rsidP="006D64E1">
      <w:pPr>
        <w:pStyle w:val="ListParagraph"/>
        <w:numPr>
          <w:ilvl w:val="0"/>
          <w:numId w:val="18"/>
        </w:numPr>
      </w:pPr>
      <w:r w:rsidRPr="004E2AED">
        <w:t>Deploy</w:t>
      </w:r>
      <w:r w:rsidR="00E12AAF" w:rsidRPr="004E2AED">
        <w:t>ing</w:t>
      </w:r>
      <w:r w:rsidRPr="004E2AED">
        <w:t xml:space="preserve"> a </w:t>
      </w:r>
      <w:r w:rsidR="00087092" w:rsidRPr="004E2AED">
        <w:t>s</w:t>
      </w:r>
      <w:r w:rsidRPr="004E2AED">
        <w:t>tructured metho</w:t>
      </w:r>
      <w:r w:rsidR="001C041E" w:rsidRPr="004E2AED">
        <w:t>d</w:t>
      </w:r>
      <w:r w:rsidRPr="004E2AED">
        <w:t xml:space="preserve"> of </w:t>
      </w:r>
      <w:r w:rsidR="00FF492B" w:rsidRPr="004E2AED">
        <w:t>formulating recommendations</w:t>
      </w:r>
    </w:p>
    <w:p w14:paraId="3B88B9C0" w14:textId="756E1512" w:rsidR="00FF492B" w:rsidRPr="004E2AED" w:rsidRDefault="00F6372D" w:rsidP="006D64E1">
      <w:pPr>
        <w:pStyle w:val="ListParagraph"/>
        <w:numPr>
          <w:ilvl w:val="0"/>
          <w:numId w:val="18"/>
        </w:numPr>
      </w:pPr>
      <w:r w:rsidRPr="004E2AED">
        <w:t>Descri</w:t>
      </w:r>
      <w:r w:rsidR="00E12AAF" w:rsidRPr="004E2AED">
        <w:t>bing</w:t>
      </w:r>
      <w:r w:rsidRPr="004E2AED">
        <w:t xml:space="preserve"> the</w:t>
      </w:r>
      <w:r w:rsidR="0052374E" w:rsidRPr="004E2AED">
        <w:t xml:space="preserve"> </w:t>
      </w:r>
      <w:r w:rsidR="00FF492B" w:rsidRPr="004E2AED">
        <w:t xml:space="preserve">procedure for updating </w:t>
      </w:r>
      <w:r w:rsidR="005F6A91" w:rsidRPr="004E2AED">
        <w:t>the PATHA Guideline</w:t>
      </w:r>
    </w:p>
    <w:p w14:paraId="074AD09F" w14:textId="2BBFCE09" w:rsidR="00FF492B" w:rsidRPr="004E2AED" w:rsidRDefault="00F6372D" w:rsidP="006D64E1">
      <w:pPr>
        <w:pStyle w:val="ListParagraph"/>
        <w:numPr>
          <w:ilvl w:val="0"/>
          <w:numId w:val="18"/>
        </w:numPr>
      </w:pPr>
      <w:r w:rsidRPr="004E2AED">
        <w:t>Devis</w:t>
      </w:r>
      <w:r w:rsidR="00E12AAF" w:rsidRPr="004E2AED">
        <w:t>ing</w:t>
      </w:r>
      <w:r w:rsidRPr="004E2AED">
        <w:t xml:space="preserve"> a</w:t>
      </w:r>
      <w:r w:rsidR="00FF492B" w:rsidRPr="004E2AED">
        <w:t xml:space="preserve"> method for </w:t>
      </w:r>
      <w:r w:rsidRPr="004E2AED">
        <w:t xml:space="preserve">recording and </w:t>
      </w:r>
      <w:r w:rsidR="00FF492B" w:rsidRPr="004E2AED">
        <w:t>addressing conflicts of interest</w:t>
      </w:r>
    </w:p>
    <w:p w14:paraId="7A68EBC2" w14:textId="394F5E25" w:rsidR="00FB6CA5" w:rsidRPr="004E2AED" w:rsidRDefault="00F6372D" w:rsidP="006D64E1">
      <w:pPr>
        <w:pStyle w:val="ListParagraph"/>
        <w:numPr>
          <w:ilvl w:val="0"/>
          <w:numId w:val="18"/>
        </w:numPr>
      </w:pPr>
      <w:r w:rsidRPr="004E2AED">
        <w:t>Carry</w:t>
      </w:r>
      <w:r w:rsidR="00201928" w:rsidRPr="004E2AED">
        <w:t>ing</w:t>
      </w:r>
      <w:r w:rsidRPr="004E2AED">
        <w:t xml:space="preserve"> out a</w:t>
      </w:r>
      <w:r w:rsidR="00201928" w:rsidRPr="004E2AED">
        <w:t xml:space="preserve">n </w:t>
      </w:r>
      <w:r w:rsidR="00C924A9" w:rsidRPr="004E2AED">
        <w:t>i</w:t>
      </w:r>
      <w:r w:rsidR="00201928" w:rsidRPr="004E2AED">
        <w:t>ndependent</w:t>
      </w:r>
      <w:r w:rsidR="00FF492B" w:rsidRPr="004E2AED">
        <w:t xml:space="preserve"> pre-publication review </w:t>
      </w:r>
    </w:p>
    <w:p w14:paraId="7BF8A76D" w14:textId="73024BD0" w:rsidR="0089252A" w:rsidRDefault="0089252A" w:rsidP="0089252A">
      <w:r>
        <w:t xml:space="preserve">These eight </w:t>
      </w:r>
      <w:r w:rsidR="00F22887">
        <w:t xml:space="preserve">common </w:t>
      </w:r>
      <w:r>
        <w:t>categories are by no means the whole story</w:t>
      </w:r>
      <w:r w:rsidR="00D02343">
        <w:t>.</w:t>
      </w:r>
      <w:r>
        <w:rPr>
          <w:lang w:val="mi-NZ"/>
        </w:rPr>
        <w:t xml:space="preserve"> Amongst other useful suggestions that PATHA has not adopted </w:t>
      </w:r>
      <w:r w:rsidR="00F22887">
        <w:rPr>
          <w:lang w:val="mi-NZ"/>
        </w:rPr>
        <w:t>are th</w:t>
      </w:r>
      <w:r w:rsidR="00CE2E37">
        <w:rPr>
          <w:lang w:val="mi-NZ"/>
        </w:rPr>
        <w:t>at</w:t>
      </w:r>
      <w:r w:rsidR="00F22887">
        <w:rPr>
          <w:lang w:val="mi-NZ"/>
        </w:rPr>
        <w:t xml:space="preserve"> AGREE </w:t>
      </w:r>
      <w:r w:rsidR="003E77F4">
        <w:rPr>
          <w:lang w:val="mi-NZ"/>
        </w:rPr>
        <w:t xml:space="preserve">proposes </w:t>
      </w:r>
      <w:r>
        <w:rPr>
          <w:lang w:val="mi-NZ"/>
        </w:rPr>
        <w:t xml:space="preserve">that </w:t>
      </w:r>
      <w:r w:rsidRPr="003A0660">
        <w:t>guideline</w:t>
      </w:r>
      <w:r w:rsidR="00CE2E37">
        <w:t>s</w:t>
      </w:r>
      <w:r>
        <w:t>:</w:t>
      </w:r>
    </w:p>
    <w:p w14:paraId="0D3BF770" w14:textId="77777777" w:rsidR="0089252A" w:rsidRDefault="0089252A" w:rsidP="006D64E1">
      <w:pPr>
        <w:pStyle w:val="ListParagraph"/>
      </w:pPr>
      <w:r>
        <w:t xml:space="preserve">considers the </w:t>
      </w:r>
      <w:r w:rsidRPr="00994657">
        <w:t>health benefits, side effects and risks in formulating the recommendations</w:t>
      </w:r>
    </w:p>
    <w:p w14:paraId="0DDA4BD1" w14:textId="77777777" w:rsidR="00F83C7E" w:rsidRPr="00994657" w:rsidRDefault="0089252A" w:rsidP="006D64E1">
      <w:pPr>
        <w:pStyle w:val="ListParagraph"/>
      </w:pPr>
      <w:r w:rsidRPr="00994657">
        <w:t xml:space="preserve">provides advice </w:t>
      </w:r>
      <w:r w:rsidR="00F22887">
        <w:t>and/</w:t>
      </w:r>
      <w:r w:rsidR="00F83C7E" w:rsidRPr="00994657">
        <w:t>or tools on how the recommendations can be put into practice</w:t>
      </w:r>
      <w:r w:rsidR="00121456">
        <w:t>.</w:t>
      </w:r>
    </w:p>
    <w:p w14:paraId="0A9B399E" w14:textId="77777777" w:rsidR="00F83C7E" w:rsidRPr="00994657" w:rsidRDefault="00F83C7E" w:rsidP="006D64E1">
      <w:pPr>
        <w:pStyle w:val="ListParagraph"/>
      </w:pPr>
      <w:r w:rsidRPr="00994657">
        <w:t>describes facilitators of and barriers to its application.</w:t>
      </w:r>
    </w:p>
    <w:p w14:paraId="7FFE07B6" w14:textId="77777777" w:rsidR="00F83C7E" w:rsidRPr="00994657" w:rsidRDefault="0017699E" w:rsidP="006D64E1">
      <w:pPr>
        <w:pStyle w:val="ListParagraph"/>
      </w:pPr>
      <w:r w:rsidRPr="00994657">
        <w:t>d</w:t>
      </w:r>
      <w:r w:rsidR="00B23110" w:rsidRPr="00994657">
        <w:t xml:space="preserve">iscusses the </w:t>
      </w:r>
      <w:r w:rsidR="00F83C7E" w:rsidRPr="00994657">
        <w:t xml:space="preserve"> potential resource implications of applying the recommendations</w:t>
      </w:r>
      <w:r w:rsidR="00FC0A62">
        <w:t>.</w:t>
      </w:r>
      <w:r w:rsidR="00F83C7E" w:rsidRPr="00994657">
        <w:t xml:space="preserve"> </w:t>
      </w:r>
    </w:p>
    <w:p w14:paraId="4F7ABC7D" w14:textId="243755B8" w:rsidR="00E20285" w:rsidRPr="00994657" w:rsidRDefault="00F83C7E" w:rsidP="006D64E1">
      <w:pPr>
        <w:pStyle w:val="ListParagraph"/>
      </w:pPr>
      <w:r w:rsidRPr="00994657">
        <w:t>presents monitoring or auditing criteria.</w:t>
      </w:r>
      <w:r w:rsidR="00E60B57">
        <w:t>(AGREE, 2017)</w:t>
      </w:r>
    </w:p>
    <w:p w14:paraId="7A284238" w14:textId="2BE18F43" w:rsidR="0089252A" w:rsidRDefault="0089252A" w:rsidP="008C55A9">
      <w:pPr>
        <w:rPr>
          <w:lang w:val="mi-NZ"/>
        </w:rPr>
      </w:pPr>
      <w:r>
        <w:rPr>
          <w:lang w:val="mi-NZ"/>
        </w:rPr>
        <w:t xml:space="preserve">The lack </w:t>
      </w:r>
      <w:r w:rsidR="008C0797">
        <w:rPr>
          <w:lang w:val="mi-NZ"/>
        </w:rPr>
        <w:t>any of this explanatory material</w:t>
      </w:r>
      <w:r>
        <w:rPr>
          <w:lang w:val="mi-NZ"/>
        </w:rPr>
        <w:t>, which</w:t>
      </w:r>
      <w:r w:rsidR="00CE2E37">
        <w:rPr>
          <w:lang w:val="mi-NZ"/>
        </w:rPr>
        <w:t xml:space="preserve"> would have</w:t>
      </w:r>
      <w:r>
        <w:rPr>
          <w:lang w:val="mi-NZ"/>
        </w:rPr>
        <w:t xml:space="preserve"> provide much needed context, also impact the quality of the PATHA guideline. The explosion in numbers seeking treatment alone, provide a solid reason to understand </w:t>
      </w:r>
      <w:r w:rsidR="0051763A">
        <w:rPr>
          <w:lang w:val="mi-NZ"/>
        </w:rPr>
        <w:t xml:space="preserve">balance of risks and benefits, the ethical issues of treating or not, </w:t>
      </w:r>
      <w:r>
        <w:rPr>
          <w:lang w:val="mi-NZ"/>
        </w:rPr>
        <w:t>implementation and scaling, the policy environment, cost and resource implications</w:t>
      </w:r>
      <w:r w:rsidR="008C55A9">
        <w:rPr>
          <w:lang w:val="mi-NZ"/>
        </w:rPr>
        <w:t xml:space="preserve"> and</w:t>
      </w:r>
      <w:r>
        <w:rPr>
          <w:lang w:val="mi-NZ"/>
        </w:rPr>
        <w:t xml:space="preserve"> understanding the size</w:t>
      </w:r>
      <w:r w:rsidR="008C55A9">
        <w:rPr>
          <w:lang w:val="mi-NZ"/>
        </w:rPr>
        <w:t>,</w:t>
      </w:r>
      <w:r>
        <w:rPr>
          <w:lang w:val="mi-NZ"/>
        </w:rPr>
        <w:t xml:space="preserve"> nature </w:t>
      </w:r>
      <w:r w:rsidR="008C55A9">
        <w:rPr>
          <w:lang w:val="mi-NZ"/>
        </w:rPr>
        <w:t xml:space="preserve"> and the causality of the </w:t>
      </w:r>
      <w:r w:rsidR="00E25AD9">
        <w:rPr>
          <w:lang w:val="mi-NZ"/>
        </w:rPr>
        <w:t>extremely high rates of increase in</w:t>
      </w:r>
      <w:r>
        <w:rPr>
          <w:lang w:val="mi-NZ"/>
        </w:rPr>
        <w:t xml:space="preserve"> the affected population</w:t>
      </w:r>
      <w:r w:rsidR="008C55A9">
        <w:rPr>
          <w:lang w:val="mi-NZ"/>
        </w:rPr>
        <w:t>.</w:t>
      </w:r>
    </w:p>
    <w:p w14:paraId="6D38C797" w14:textId="1D3B2003" w:rsidR="00F81278" w:rsidRDefault="00F81278" w:rsidP="00885484">
      <w:r>
        <w:t xml:space="preserve">The following section assesses the Guideline against </w:t>
      </w:r>
      <w:r w:rsidR="00EC5100">
        <w:t>the</w:t>
      </w:r>
      <w:r w:rsidR="00F6138F">
        <w:t xml:space="preserve"> </w:t>
      </w:r>
      <w:r w:rsidR="003E77F4">
        <w:t>eight</w:t>
      </w:r>
      <w:r w:rsidR="00EC5100">
        <w:t xml:space="preserve"> steps.</w:t>
      </w:r>
      <w:r w:rsidR="00B923AC">
        <w:t xml:space="preserve"> </w:t>
      </w:r>
      <w:r w:rsidR="00E21387">
        <w:t xml:space="preserve">Then the Guideline is compared with WPATH </w:t>
      </w:r>
      <w:r w:rsidR="00652657">
        <w:t>SOC 7</w:t>
      </w:r>
    </w:p>
    <w:p w14:paraId="18C63476" w14:textId="5B45BDCB" w:rsidR="00C03181" w:rsidRDefault="00C03181" w:rsidP="00885484">
      <w:pPr>
        <w:pStyle w:val="Heading4"/>
      </w:pPr>
      <w:bookmarkStart w:id="29" w:name="_Toc140574833"/>
      <w:r w:rsidRPr="00204FA8">
        <w:t>Establish</w:t>
      </w:r>
      <w:r w:rsidR="0041466D">
        <w:t>ing</w:t>
      </w:r>
      <w:r w:rsidRPr="00204FA8">
        <w:t xml:space="preserve"> the </w:t>
      </w:r>
      <w:r w:rsidR="006868F6">
        <w:t xml:space="preserve">nature of the condition or the affected </w:t>
      </w:r>
      <w:r w:rsidRPr="00204FA8">
        <w:t xml:space="preserve">population </w:t>
      </w:r>
      <w:bookmarkEnd w:id="29"/>
    </w:p>
    <w:p w14:paraId="7624D505" w14:textId="3712C09C" w:rsidR="00C03181" w:rsidRDefault="00C03181" w:rsidP="00885484">
      <w:pPr>
        <w:rPr>
          <w:i/>
        </w:rPr>
      </w:pPr>
      <w:r>
        <w:t xml:space="preserve">The </w:t>
      </w:r>
      <w:r w:rsidR="008E0177">
        <w:t xml:space="preserve">basis </w:t>
      </w:r>
      <w:r>
        <w:t xml:space="preserve">of </w:t>
      </w:r>
      <w:r w:rsidR="00FC5997">
        <w:t xml:space="preserve">a </w:t>
      </w:r>
      <w:r w:rsidR="008E0177">
        <w:t xml:space="preserve">medical </w:t>
      </w:r>
      <w:r w:rsidR="00FC5997">
        <w:t>g</w:t>
      </w:r>
      <w:r>
        <w:t xml:space="preserve">uideline </w:t>
      </w:r>
      <w:r w:rsidR="008E0177">
        <w:t xml:space="preserve">requires that </w:t>
      </w:r>
      <w:r>
        <w:t xml:space="preserve">the </w:t>
      </w:r>
      <w:r w:rsidR="008E0177">
        <w:t xml:space="preserve">client </w:t>
      </w:r>
      <w:r>
        <w:t xml:space="preserve">population </w:t>
      </w:r>
      <w:r w:rsidR="008D5DCE">
        <w:t>and/</w:t>
      </w:r>
      <w:r>
        <w:t>or the medical condition</w:t>
      </w:r>
      <w:r w:rsidR="008E0177">
        <w:t xml:space="preserve"> can be </w:t>
      </w:r>
      <w:r w:rsidR="008D5DCE">
        <w:t xml:space="preserve">closely </w:t>
      </w:r>
      <w:r w:rsidR="008E0177">
        <w:t>defined</w:t>
      </w:r>
      <w:r w:rsidR="001E2DD7">
        <w:t xml:space="preserve">. For example the WHO </w:t>
      </w:r>
      <w:r w:rsidR="004F3FDF">
        <w:t>Guidelines for the management of</w:t>
      </w:r>
      <w:r w:rsidR="0052374E">
        <w:t xml:space="preserve"> </w:t>
      </w:r>
      <w:r>
        <w:t xml:space="preserve">diabetes / people with </w:t>
      </w:r>
      <w:r w:rsidR="005F05F1">
        <w:t>diabetes</w:t>
      </w:r>
      <w:r w:rsidR="004F3FDF">
        <w:t xml:space="preserve"> states ‘</w:t>
      </w:r>
      <w:r w:rsidR="004F3FDF" w:rsidRPr="004F3FDF">
        <w:rPr>
          <w:i/>
          <w:iCs/>
        </w:rPr>
        <w:t>Diabetes mellitus, commonly known as diabetes, is a group of metabolic disorders</w:t>
      </w:r>
      <w:r w:rsidR="004F3FDF">
        <w:rPr>
          <w:i/>
          <w:iCs/>
        </w:rPr>
        <w:t xml:space="preserve"> </w:t>
      </w:r>
      <w:r w:rsidR="004F3FDF" w:rsidRPr="004F3FDF">
        <w:rPr>
          <w:i/>
          <w:iCs/>
        </w:rPr>
        <w:t>characterized by the presence of hyperglycaemia in the absence of treatment</w:t>
      </w:r>
      <w:r w:rsidR="004F3FDF">
        <w:rPr>
          <w:i/>
          <w:iCs/>
        </w:rPr>
        <w:t xml:space="preserve">’ </w:t>
      </w:r>
      <w:r w:rsidR="009E4493">
        <w:rPr>
          <w:i/>
          <w:iCs/>
        </w:rPr>
        <w:fldChar w:fldCharType="begin"/>
      </w:r>
      <w:r w:rsidR="00C63C9F">
        <w:rPr>
          <w:i/>
          <w:iCs/>
        </w:rPr>
        <w:instrText xml:space="preserve"> ADDIN ZOTERO_ITEM CSL_CITATION {"citationID":"seVSX3JI","properties":{"formattedCitation":"(World Health Organisation &amp; International Diabetes Federation, 2020)","plainCitation":"(World Health Organisation &amp; International Diabetes Federation, 2020)","noteIndex":0},"citationItems":[{"id":11748,"uris":["http://zotero.org/groups/4882545/items/EP8FX242"],"itemData":{"id":11748,"type":"report","abstract":"Diabetes mellitus, commonly known as diabetes, is a group of metabolic disorders\ncharacterized by the presence of hyperglycaemia in the absence of treatment.","publisher":"World Health Organisation","title":"Diagnosis and Management of Type 2 Diabetes","URL":"https://apps.who.int/iris/rest/bitstreams/1274478/retrieve","author":[{"family":"World Health Organisation","given":""},{"family":"International Diabetes Federation","given":""}],"issued":{"date-parts":[["2020"]]}}}],"schema":"https://github.com/citation-style-language/schema/raw/master/csl-citation.json"} </w:instrText>
      </w:r>
      <w:r w:rsidR="009E4493">
        <w:rPr>
          <w:i/>
          <w:iCs/>
        </w:rPr>
        <w:fldChar w:fldCharType="separate"/>
      </w:r>
      <w:r w:rsidR="00C63C9F" w:rsidRPr="00C63C9F">
        <w:rPr>
          <w:rFonts w:cs="Calibri"/>
        </w:rPr>
        <w:t>(World Health Organisation &amp; International Diabetes Federation, 2020)</w:t>
      </w:r>
      <w:r w:rsidR="009E4493">
        <w:rPr>
          <w:i/>
          <w:iCs/>
        </w:rPr>
        <w:fldChar w:fldCharType="end"/>
      </w:r>
      <w:r w:rsidR="00355FA3">
        <w:rPr>
          <w:i/>
          <w:iCs/>
        </w:rPr>
        <w:t>.</w:t>
      </w:r>
    </w:p>
    <w:p w14:paraId="19510E64" w14:textId="4A8A2EE8" w:rsidR="00257D7B" w:rsidRDefault="00257D7B" w:rsidP="00885484">
      <w:r>
        <w:rPr>
          <w:lang w:val="mi-NZ"/>
        </w:rPr>
        <w:t xml:space="preserve">There are </w:t>
      </w:r>
      <w:r w:rsidR="00586D2C">
        <w:rPr>
          <w:lang w:val="mi-NZ"/>
        </w:rPr>
        <w:t>a numb</w:t>
      </w:r>
      <w:r w:rsidR="005D4DF0">
        <w:rPr>
          <w:lang w:val="mi-NZ"/>
        </w:rPr>
        <w:t>er</w:t>
      </w:r>
      <w:r w:rsidR="00586D2C">
        <w:rPr>
          <w:lang w:val="mi-NZ"/>
        </w:rPr>
        <w:t xml:space="preserve"> of</w:t>
      </w:r>
      <w:r>
        <w:rPr>
          <w:lang w:val="mi-NZ"/>
        </w:rPr>
        <w:t xml:space="preserve"> </w:t>
      </w:r>
      <w:r w:rsidR="009A10E2">
        <w:rPr>
          <w:lang w:val="mi-NZ"/>
        </w:rPr>
        <w:t xml:space="preserve">problems in </w:t>
      </w:r>
      <w:r w:rsidRPr="00683BB6">
        <w:t>identifying a precise population</w:t>
      </w:r>
      <w:r w:rsidR="009A10E2">
        <w:t xml:space="preserve"> in the PATHA guideline</w:t>
      </w:r>
      <w:r w:rsidRPr="00683BB6">
        <w:t xml:space="preserve">. </w:t>
      </w:r>
    </w:p>
    <w:p w14:paraId="3346B8BF" w14:textId="2D9FFADB" w:rsidR="001C50C6" w:rsidRPr="00C61661" w:rsidRDefault="005F1C79" w:rsidP="006D64E1">
      <w:pPr>
        <w:pStyle w:val="ListParagraph"/>
        <w:rPr>
          <w:i/>
          <w:iCs/>
        </w:rPr>
      </w:pPr>
      <w:r>
        <w:t>R</w:t>
      </w:r>
      <w:r w:rsidR="00464EBB" w:rsidRPr="00257D7B">
        <w:t xml:space="preserve">esearch is cited that shows that </w:t>
      </w:r>
      <w:r w:rsidR="00BB1F9A" w:rsidRPr="00257D7B">
        <w:t>the number of people seeking gender medicine interventions</w:t>
      </w:r>
      <w:r w:rsidR="00E65E14" w:rsidRPr="00257D7B">
        <w:t xml:space="preserve"> in New Zealand</w:t>
      </w:r>
      <w:r w:rsidR="00BB1F9A" w:rsidRPr="00257D7B">
        <w:t xml:space="preserve"> ha</w:t>
      </w:r>
      <w:r w:rsidR="002159D3" w:rsidRPr="00257D7B">
        <w:t>s</w:t>
      </w:r>
      <w:r w:rsidR="00BB1F9A" w:rsidRPr="00257D7B">
        <w:t xml:space="preserve"> increased rapidly,</w:t>
      </w:r>
      <w:r w:rsidR="00235991" w:rsidRPr="00257D7B">
        <w:t xml:space="preserve"> </w:t>
      </w:r>
      <w:r w:rsidR="00012B3D" w:rsidRPr="00257D7B">
        <w:rPr>
          <w:i/>
        </w:rPr>
        <w:fldChar w:fldCharType="begin"/>
      </w:r>
      <w:r w:rsidR="00012B3D" w:rsidRPr="00257D7B">
        <w:instrText xml:space="preserve"> ADDIN ZOTERO_ITEM CSL_CITATION {"citationID":"7sTbY9zt","properties":{"formattedCitation":"(Delahunt et al., 2018)","plainCitation":"(Delahunt et al., 2018)","noteIndex":0},"citationItems":[{"id":8469,"uris":["http://zotero.org/groups/4882545/items/P5KX663K"],"itemData":{"id":8469,"type":"article-journal","abstract":"METHODS: Using hospital records, we reviewed the new appointments of people who were referred for advice on gender reassignment and seen in the Wellington Endocrine Service from 1990 to 2016.\nRESULTS: In total, 438 people who identified as transgender attended the clinic at least once in this period. There has been a progressive increase in number of people identifying as transgender presenting to the clinic, particularly since 2010. In addition to increasing overall numbers, there has been in particular increase in referrals for people under age 30, as well as an increasing proportion of people requesting female-to-male (FtM) therapy so that it is now approaching the number of people requesting male-tofemale therapy (MtF).\nCONCLUSION: The pattern observed is comparable to changes reported overseas. These changes have practical consequences for the delivery of both secondary and primary level healthcare, requiring an increased focus on clinical coordination between the relevant medical services and their links to the primary services sector.","container-title":"New Zealand Medical Journal","issue":"1468","language":"en","page":"10","source":"Zotero","title":"Increasing rates of people identifying as transgender presenting to Endocrine Services in the Wellington region","URL":"https://www.nzma.org.nz/journal-articles/increasing-rates-of-people-identifying-as-transgender-presenting-to-endocrine-services-in-the-wellington-region","volume":"131","author":[{"family":"Delahunt","given":"John W"},{"family":"Denison","given":"Hayley J"},{"family":"Sim","given":"Dalice A"},{"family":"Bullock","given":"Jemima J"},{"family":"Krebs","given":"Jeremy D"}],"issued":{"date-parts":[["2018"]]}}}],"schema":"https://github.com/citation-style-language/schema/raw/master/csl-citation.json"} </w:instrText>
      </w:r>
      <w:r w:rsidR="00012B3D" w:rsidRPr="00257D7B">
        <w:rPr>
          <w:i/>
        </w:rPr>
        <w:fldChar w:fldCharType="separate"/>
      </w:r>
      <w:r w:rsidR="00012B3D" w:rsidRPr="00257D7B">
        <w:rPr>
          <w:rFonts w:cs="Calibri"/>
        </w:rPr>
        <w:t>(Delahunt et al., 2018)</w:t>
      </w:r>
      <w:r w:rsidR="00012B3D" w:rsidRPr="00257D7B">
        <w:rPr>
          <w:i/>
        </w:rPr>
        <w:fldChar w:fldCharType="end"/>
      </w:r>
      <w:r w:rsidR="007768E8" w:rsidRPr="00257D7B">
        <w:t xml:space="preserve"> </w:t>
      </w:r>
      <w:r w:rsidR="00B0133D" w:rsidRPr="00257D7B">
        <w:t xml:space="preserve">but </w:t>
      </w:r>
      <w:r w:rsidR="001C50C6" w:rsidRPr="00257D7B">
        <w:t xml:space="preserve">the </w:t>
      </w:r>
      <w:r w:rsidR="00895B87" w:rsidRPr="00257D7B">
        <w:t xml:space="preserve">PATHA </w:t>
      </w:r>
      <w:r w:rsidR="001C50C6" w:rsidRPr="00257D7B">
        <w:t xml:space="preserve">Guideline does not mention </w:t>
      </w:r>
      <w:r w:rsidR="00971E9D" w:rsidRPr="00257D7B">
        <w:t xml:space="preserve">that the age of referral has changed </w:t>
      </w:r>
      <w:r w:rsidR="00DD2DAC" w:rsidRPr="00257D7B">
        <w:t xml:space="preserve">to be increasingly composed of post-pubertal, </w:t>
      </w:r>
      <w:r w:rsidR="0065262A" w:rsidRPr="00257D7B">
        <w:t>rat</w:t>
      </w:r>
      <w:r w:rsidR="004741A3" w:rsidRPr="00257D7B">
        <w:t>h</w:t>
      </w:r>
      <w:r w:rsidR="0065262A" w:rsidRPr="00257D7B">
        <w:t xml:space="preserve">er than </w:t>
      </w:r>
      <w:r w:rsidR="00DD2DAC" w:rsidRPr="00257D7B">
        <w:t>very young children</w:t>
      </w:r>
      <w:r w:rsidR="0065262A" w:rsidRPr="00257D7B">
        <w:t xml:space="preserve"> </w:t>
      </w:r>
      <w:r>
        <w:t>(</w:t>
      </w:r>
      <w:r w:rsidR="0017745A">
        <w:t>and a smaller number of</w:t>
      </w:r>
      <w:r w:rsidR="0065262A">
        <w:t xml:space="preserve"> </w:t>
      </w:r>
      <w:r w:rsidR="0065262A" w:rsidRPr="004E2AED">
        <w:t>older</w:t>
      </w:r>
      <w:r w:rsidR="0065262A" w:rsidRPr="00257D7B">
        <w:t xml:space="preserve"> people</w:t>
      </w:r>
      <w:r>
        <w:t>)</w:t>
      </w:r>
      <w:r w:rsidR="00DD2DAC" w:rsidRPr="00257D7B">
        <w:t>, n</w:t>
      </w:r>
      <w:r w:rsidR="000A050F" w:rsidRPr="00257D7B">
        <w:t>or that</w:t>
      </w:r>
      <w:r w:rsidR="00B0133D" w:rsidRPr="00257D7B">
        <w:t xml:space="preserve"> </w:t>
      </w:r>
      <w:r w:rsidR="00BF53BA" w:rsidRPr="00257D7B">
        <w:t xml:space="preserve">the sex of </w:t>
      </w:r>
      <w:r w:rsidR="000A050F" w:rsidRPr="00257D7B">
        <w:t xml:space="preserve">those presenting </w:t>
      </w:r>
      <w:r w:rsidR="00A358CE" w:rsidRPr="00257D7B">
        <w:t>h</w:t>
      </w:r>
      <w:r w:rsidR="000A050F" w:rsidRPr="00257D7B">
        <w:t>a</w:t>
      </w:r>
      <w:r w:rsidR="00E65E14" w:rsidRPr="00257D7B">
        <w:t>d</w:t>
      </w:r>
      <w:r w:rsidR="00A358CE" w:rsidRPr="00257D7B">
        <w:t xml:space="preserve"> changed from </w:t>
      </w:r>
      <w:r w:rsidR="00B0133D" w:rsidRPr="00257D7B">
        <w:t xml:space="preserve">mostly </w:t>
      </w:r>
      <w:r w:rsidR="00A358CE" w:rsidRPr="00676036">
        <w:t>male</w:t>
      </w:r>
      <w:r w:rsidR="00A358CE" w:rsidRPr="00257D7B">
        <w:t xml:space="preserve"> to mostly </w:t>
      </w:r>
      <w:r w:rsidR="00A358CE" w:rsidRPr="00C14572">
        <w:t>female</w:t>
      </w:r>
      <w:r w:rsidR="003C76FC" w:rsidRPr="00C14572">
        <w:t xml:space="preserve"> as the New Zealand research also shows</w:t>
      </w:r>
      <w:r w:rsidR="00A358CE" w:rsidRPr="00C14572">
        <w:t>.</w:t>
      </w:r>
      <w:r w:rsidR="0003273E" w:rsidRPr="00C14572">
        <w:t>(</w:t>
      </w:r>
      <w:r w:rsidR="0003273E">
        <w:t xml:space="preserve">Delahunt, </w:t>
      </w:r>
      <w:r w:rsidR="00330D6C">
        <w:t>2018)</w:t>
      </w:r>
      <w:r w:rsidR="002C0EE5" w:rsidRPr="00257D7B">
        <w:t xml:space="preserve"> </w:t>
      </w:r>
      <w:r w:rsidR="007D110A" w:rsidRPr="00257D7B">
        <w:t>These findings were emerging a</w:t>
      </w:r>
      <w:r w:rsidR="007768E8" w:rsidRPr="00257D7B">
        <w:t xml:space="preserve">s early as 2015 </w:t>
      </w:r>
      <w:r w:rsidR="00493AE9" w:rsidRPr="00257D7B">
        <w:t xml:space="preserve">in </w:t>
      </w:r>
      <w:r w:rsidR="007768E8" w:rsidRPr="00257D7B">
        <w:t>other juri</w:t>
      </w:r>
      <w:r w:rsidR="004741A3" w:rsidRPr="00257D7B">
        <w:t>s</w:t>
      </w:r>
      <w:r w:rsidR="007768E8" w:rsidRPr="00257D7B">
        <w:t>diction</w:t>
      </w:r>
      <w:r w:rsidR="00796989">
        <w:t>s</w:t>
      </w:r>
      <w:r w:rsidR="006A3F15" w:rsidRPr="00257D7B">
        <w:t xml:space="preserve">, </w:t>
      </w:r>
      <w:r w:rsidR="005D4DF0">
        <w:t xml:space="preserve">and the researchers were </w:t>
      </w:r>
      <w:r w:rsidR="007768E8" w:rsidRPr="00257D7B">
        <w:t>calling into question whe</w:t>
      </w:r>
      <w:r w:rsidR="000F5827" w:rsidRPr="00257D7B">
        <w:t>ther the same</w:t>
      </w:r>
      <w:r w:rsidR="00DE3393" w:rsidRPr="00257D7B">
        <w:t xml:space="preserve"> </w:t>
      </w:r>
      <w:r w:rsidR="000F5827" w:rsidRPr="00257D7B">
        <w:t xml:space="preserve">treatment regime was relevant </w:t>
      </w:r>
      <w:r w:rsidR="00A939AB" w:rsidRPr="00257D7B">
        <w:t xml:space="preserve">(or advisable) </w:t>
      </w:r>
      <w:r w:rsidR="000F5827" w:rsidRPr="00257D7B">
        <w:t xml:space="preserve">for this </w:t>
      </w:r>
      <w:r w:rsidR="00D32A54">
        <w:t xml:space="preserve">new </w:t>
      </w:r>
      <w:r w:rsidR="000F5827" w:rsidRPr="00257D7B">
        <w:t>cohort</w:t>
      </w:r>
      <w:r w:rsidR="00E328FA" w:rsidRPr="00257D7B">
        <w:t xml:space="preserve"> </w:t>
      </w:r>
      <w:r w:rsidR="00E328FA" w:rsidRPr="00257D7B">
        <w:rPr>
          <w:i/>
        </w:rPr>
        <w:fldChar w:fldCharType="begin"/>
      </w:r>
      <w:r w:rsidR="00E328FA" w:rsidRPr="00257D7B">
        <w:instrText xml:space="preserve"> ADDIN ZOTERO_ITEM CSL_CITATION {"citationID":"vrozlpKN","properties":{"formattedCitation":"(Kaltiala-Heino et al., 2015)","plainCitation":"(Kaltiala-Heino et al., 2015)","noteIndex":0},"citationItems":[{"id":11832,"uris":["http://zotero.org/groups/4882545/items/XYY94N9G"],"itemData":{"id":11832,"type":"article-journal","abstract":"Increasing numbers of adolescents present in adolescent gender identity services, desiring sex reassignment (SR). The aim of this study is to describe the adolescent applicants for legal and medical sex reassignment during the first two years of adolescent ...","container-title":"Child and Adolescent Psychiatry and Mental Health","DOI":"10.1186/s13034-015-0042-y","language":"en","note":"publisher: BMC\nPMID: 25873995","source":"www.ncbi.nlm.nih.gov","title":"Two years of gender identity service for minors: overrepresentation of natal girls with severe problems in adolescent development","title-short":"Two years of gender identity service for minors","URL":"https://www.ncbi.nlm.nih.gov/pmc/articles/PMC4396787/","volume":"9","author":[{"family":"Kaltiala-Heino","given":"Riittakerttu"},{"family":"Sumia","given":"Maria"},{"family":"Työläjärvi","given":"Marja"},{"family":"Lindberg","given":"Nina"}],"accessed":{"date-parts":[["2023",8,7]]},"issued":{"date-parts":[["2015"]]}}}],"schema":"https://github.com/citation-style-language/schema/raw/master/csl-citation.json"} </w:instrText>
      </w:r>
      <w:r w:rsidR="00E328FA" w:rsidRPr="00257D7B">
        <w:rPr>
          <w:i/>
        </w:rPr>
        <w:fldChar w:fldCharType="separate"/>
      </w:r>
      <w:r w:rsidR="00E328FA" w:rsidRPr="00257D7B">
        <w:rPr>
          <w:rFonts w:cs="Calibri"/>
        </w:rPr>
        <w:t>(Kaltiala-Heino et al., 2015)</w:t>
      </w:r>
      <w:r w:rsidR="00E328FA" w:rsidRPr="00257D7B">
        <w:rPr>
          <w:i/>
        </w:rPr>
        <w:fldChar w:fldCharType="end"/>
      </w:r>
      <w:r w:rsidR="000F5827" w:rsidRPr="00257D7B">
        <w:t xml:space="preserve"> but the PATHA guideline</w:t>
      </w:r>
      <w:r w:rsidR="000960A4" w:rsidRPr="00257D7B">
        <w:t xml:space="preserve"> does not </w:t>
      </w:r>
      <w:r w:rsidR="00163CF5" w:rsidRPr="00257D7B">
        <w:t>mention</w:t>
      </w:r>
      <w:r w:rsidR="00B65993">
        <w:t xml:space="preserve"> </w:t>
      </w:r>
      <w:r w:rsidR="00B65993" w:rsidRPr="00D46580">
        <w:t>th</w:t>
      </w:r>
      <w:r w:rsidR="00BE73BC" w:rsidRPr="00D46580">
        <w:t>ese</w:t>
      </w:r>
      <w:r w:rsidR="00B65993" w:rsidRPr="00D46580">
        <w:t xml:space="preserve"> </w:t>
      </w:r>
      <w:r w:rsidR="000960A4" w:rsidRPr="00D46580">
        <w:t>significant change</w:t>
      </w:r>
      <w:r w:rsidR="00BE73BC" w:rsidRPr="00D46580">
        <w:t>s</w:t>
      </w:r>
      <w:r w:rsidR="000960A4" w:rsidRPr="00D46580">
        <w:t>.</w:t>
      </w:r>
      <w:r w:rsidR="000F5827" w:rsidRPr="00D46580">
        <w:t xml:space="preserve"> </w:t>
      </w:r>
    </w:p>
    <w:p w14:paraId="793E3D2A" w14:textId="0B87228E" w:rsidR="00C61661" w:rsidRPr="003B461A" w:rsidRDefault="00C61661" w:rsidP="006D64E1">
      <w:pPr>
        <w:pStyle w:val="ListParagraph"/>
      </w:pPr>
      <w:r>
        <w:t>T</w:t>
      </w:r>
      <w:r w:rsidRPr="003B461A">
        <w:t>he definition of trans / transgender in the terminology section is</w:t>
      </w:r>
      <w:r>
        <w:t xml:space="preserve"> incomplete as it does not mention dysphoria as a likely defining factor</w:t>
      </w:r>
      <w:r w:rsidR="005D4DF0">
        <w:t>,</w:t>
      </w:r>
      <w:r>
        <w:t xml:space="preserve"> required for treatment</w:t>
      </w:r>
      <w:r w:rsidR="005D4DF0">
        <w:t>,</w:t>
      </w:r>
      <w:r w:rsidR="004D4BDC">
        <w:t xml:space="preserve"> even though this is mentioned elsewhere</w:t>
      </w:r>
      <w:r>
        <w:t>.</w:t>
      </w:r>
      <w:r w:rsidRPr="003B461A">
        <w:t xml:space="preserve"> </w:t>
      </w:r>
    </w:p>
    <w:p w14:paraId="3924BB27" w14:textId="77777777" w:rsidR="00C61661" w:rsidRDefault="000020E2" w:rsidP="006D64E1">
      <w:pPr>
        <w:pStyle w:val="ListParagraph"/>
      </w:pPr>
      <w:r w:rsidRPr="00257D7B">
        <w:t xml:space="preserve">The PATHA Guideline is </w:t>
      </w:r>
      <w:r w:rsidR="00363E33" w:rsidRPr="00257D7B">
        <w:t>self</w:t>
      </w:r>
      <w:r w:rsidR="00972F4F" w:rsidRPr="00257D7B">
        <w:t>-</w:t>
      </w:r>
      <w:r w:rsidRPr="00257D7B">
        <w:t>contradictory. In the mental health section it says that being transgender ‘</w:t>
      </w:r>
      <w:r w:rsidR="002E6B1B" w:rsidRPr="00FE0F15">
        <w:rPr>
          <w:i/>
          <w:iCs/>
        </w:rPr>
        <w:t>is often but not always accompanied by gender dysphoria, a person’s discomfort or distress with their body or gender roles associated with their sex assigned at birth</w:t>
      </w:r>
      <w:r w:rsidR="002E6B1B" w:rsidRPr="006D64E1">
        <w:t>’</w:t>
      </w:r>
      <w:r w:rsidR="003B461A">
        <w:t xml:space="preserve"> </w:t>
      </w:r>
      <w:r w:rsidRPr="0096673C">
        <w:t>and advises treatment is available irrespective of whether there is dysphoria.</w:t>
      </w:r>
      <w:r w:rsidRPr="003B461A">
        <w:t xml:space="preserve"> </w:t>
      </w:r>
      <w:r w:rsidRPr="00090BF0">
        <w:t>However, the sections on getting gender affirming treatment with cross sex hormones and surgery say</w:t>
      </w:r>
      <w:r w:rsidRPr="003B461A">
        <w:t xml:space="preserve"> </w:t>
      </w:r>
      <w:r w:rsidRPr="002C7EE9">
        <w:t>that these can only be provided where there is gender dysphoria.</w:t>
      </w:r>
      <w:r w:rsidRPr="003B461A">
        <w:t xml:space="preserve"> </w:t>
      </w:r>
    </w:p>
    <w:p w14:paraId="63FAD0E9" w14:textId="494A1B79" w:rsidR="00876999" w:rsidRPr="00257D7B" w:rsidRDefault="00A31A2B" w:rsidP="006D64E1">
      <w:pPr>
        <w:pStyle w:val="ListParagraph"/>
        <w:rPr>
          <w:i/>
          <w:iCs/>
        </w:rPr>
      </w:pPr>
      <w:r w:rsidRPr="00257D7B">
        <w:lastRenderedPageBreak/>
        <w:t>The Guid</w:t>
      </w:r>
      <w:r w:rsidR="00AF4347" w:rsidRPr="00257D7B">
        <w:t>eline</w:t>
      </w:r>
      <w:r w:rsidRPr="00257D7B">
        <w:t xml:space="preserve"> says that the treatments are </w:t>
      </w:r>
      <w:r w:rsidRPr="006E4599">
        <w:rPr>
          <w:i/>
          <w:iCs/>
        </w:rPr>
        <w:t>‘medically necessary’</w:t>
      </w:r>
      <w:r w:rsidR="004F7080">
        <w:t xml:space="preserve"> but</w:t>
      </w:r>
      <w:r w:rsidR="0052374E" w:rsidRPr="00257D7B">
        <w:t xml:space="preserve"> </w:t>
      </w:r>
      <w:r w:rsidR="00F05622" w:rsidRPr="00257D7B">
        <w:t xml:space="preserve">a list of surgical interventions </w:t>
      </w:r>
      <w:r w:rsidR="004F7080">
        <w:t xml:space="preserve">says that each </w:t>
      </w:r>
      <w:r w:rsidR="00F05622" w:rsidRPr="00257D7B">
        <w:t xml:space="preserve">may or may not be </w:t>
      </w:r>
      <w:r w:rsidR="00D23974">
        <w:t>necessary</w:t>
      </w:r>
      <w:r w:rsidR="004F7080">
        <w:t xml:space="preserve">. </w:t>
      </w:r>
      <w:r w:rsidR="005E00AB" w:rsidRPr="00257D7B">
        <w:t>The Guideline says that this is</w:t>
      </w:r>
      <w:r w:rsidR="00F05622" w:rsidRPr="00257D7B">
        <w:t xml:space="preserve"> because </w:t>
      </w:r>
      <w:r w:rsidRPr="00257D7B">
        <w:t>‘</w:t>
      </w:r>
      <w:r w:rsidRPr="00DF2DEF">
        <w:rPr>
          <w:i/>
          <w:iCs/>
        </w:rPr>
        <w:t>each trans person will undertake a unique journey to affirm their gender’</w:t>
      </w:r>
      <w:r w:rsidRPr="00257D7B">
        <w:t xml:space="preserve">. </w:t>
      </w:r>
      <w:r w:rsidR="00FF492B" w:rsidRPr="00257D7B">
        <w:t xml:space="preserve"> </w:t>
      </w:r>
    </w:p>
    <w:p w14:paraId="731990A6" w14:textId="39A963F8" w:rsidR="00876999" w:rsidRPr="00257D7B" w:rsidRDefault="00604795" w:rsidP="006D64E1">
      <w:pPr>
        <w:pStyle w:val="ListParagraph"/>
      </w:pPr>
      <w:r w:rsidRPr="00257D7B">
        <w:t>T</w:t>
      </w:r>
      <w:r w:rsidR="002A2F6A" w:rsidRPr="00257D7B">
        <w:t>he PATHA Guideline</w:t>
      </w:r>
      <w:r w:rsidR="00441195" w:rsidRPr="00257D7B">
        <w:t xml:space="preserve"> </w:t>
      </w:r>
      <w:r w:rsidR="00844AA4" w:rsidRPr="00257D7B">
        <w:t>says,</w:t>
      </w:r>
      <w:r w:rsidR="00441195" w:rsidRPr="00257D7B">
        <w:t xml:space="preserve"> </w:t>
      </w:r>
      <w:r w:rsidR="00FF492B" w:rsidRPr="00257D7B">
        <w:t>‘</w:t>
      </w:r>
      <w:r w:rsidR="00FF492B" w:rsidRPr="002E43DB">
        <w:rPr>
          <w:i/>
          <w:iCs/>
        </w:rPr>
        <w:t>being transgender can be one way of being gender diverse, but not all gender diverse people identify as being transgender and vice versa</w:t>
      </w:r>
      <w:r w:rsidR="00FF492B" w:rsidRPr="00842726">
        <w:t>.’</w:t>
      </w:r>
      <w:r w:rsidR="00FF492B" w:rsidRPr="00257D7B">
        <w:t xml:space="preserve"> </w:t>
      </w:r>
      <w:r w:rsidRPr="00257D7B">
        <w:t>T</w:t>
      </w:r>
      <w:r w:rsidR="005F6A91" w:rsidRPr="00257D7B">
        <w:t>he PATHA Guideline</w:t>
      </w:r>
      <w:r w:rsidR="00FF492B" w:rsidRPr="00257D7B">
        <w:t xml:space="preserve"> </w:t>
      </w:r>
      <w:r w:rsidRPr="00257D7B">
        <w:t xml:space="preserve">also </w:t>
      </w:r>
      <w:r w:rsidR="00FF492B" w:rsidRPr="00257D7B">
        <w:t xml:space="preserve">advises that </w:t>
      </w:r>
      <w:r w:rsidR="00915E73" w:rsidRPr="00257D7B">
        <w:t>‘</w:t>
      </w:r>
      <w:r w:rsidR="00FF492B" w:rsidRPr="00B16B0A">
        <w:rPr>
          <w:i/>
          <w:iCs/>
        </w:rPr>
        <w:t>supporting trans and gender diverse children requires a developmentally appropriate and gender affirming approach which involves assisting children to create an environment where their gender can be affirmed</w:t>
      </w:r>
      <w:r w:rsidR="00915E73" w:rsidRPr="006D64E1">
        <w:t>’</w:t>
      </w:r>
      <w:r w:rsidR="00FF492B" w:rsidRPr="00E259AE">
        <w:t>.</w:t>
      </w:r>
      <w:r w:rsidR="00FF492B" w:rsidRPr="00257D7B">
        <w:t xml:space="preserve"> </w:t>
      </w:r>
      <w:r w:rsidR="00C33CCC" w:rsidRPr="00257D7B">
        <w:t xml:space="preserve"> </w:t>
      </w:r>
      <w:r w:rsidR="000D09A2" w:rsidRPr="00257D7B">
        <w:t>W</w:t>
      </w:r>
      <w:r w:rsidR="00C67350" w:rsidRPr="00257D7B">
        <w:t>h</w:t>
      </w:r>
      <w:r w:rsidR="00570C75" w:rsidRPr="00257D7B">
        <w:t>at</w:t>
      </w:r>
      <w:r w:rsidR="00C67350" w:rsidRPr="00257D7B">
        <w:t xml:space="preserve"> are gender non-conforming children </w:t>
      </w:r>
      <w:r w:rsidR="00570C75" w:rsidRPr="00257D7B">
        <w:t>being affirmed as</w:t>
      </w:r>
      <w:r w:rsidR="008D0FC5" w:rsidRPr="00257D7B">
        <w:t>,</w:t>
      </w:r>
      <w:r w:rsidR="00506667" w:rsidRPr="00257D7B">
        <w:t xml:space="preserve"> </w:t>
      </w:r>
      <w:r w:rsidR="007D20E6" w:rsidRPr="00257D7B">
        <w:t xml:space="preserve">if </w:t>
      </w:r>
      <w:r w:rsidR="00506667" w:rsidRPr="00257D7B">
        <w:t>by the earlier definition</w:t>
      </w:r>
      <w:r w:rsidR="008D0FC5" w:rsidRPr="00257D7B">
        <w:t>,</w:t>
      </w:r>
      <w:r w:rsidR="00506667" w:rsidRPr="00257D7B">
        <w:t xml:space="preserve"> </w:t>
      </w:r>
      <w:r w:rsidR="007D20E6" w:rsidRPr="00257D7B">
        <w:t xml:space="preserve">some will </w:t>
      </w:r>
      <w:r w:rsidR="00506667" w:rsidRPr="00257D7B">
        <w:t xml:space="preserve">not be </w:t>
      </w:r>
      <w:r w:rsidR="000E5ADF" w:rsidRPr="00257D7B">
        <w:t>transgender</w:t>
      </w:r>
      <w:r w:rsidR="00A6738F" w:rsidRPr="00257D7B">
        <w:t>?</w:t>
      </w:r>
      <w:r w:rsidR="003D31DC" w:rsidRPr="00257D7B">
        <w:t xml:space="preserve"> </w:t>
      </w:r>
      <w:r w:rsidR="00F91419">
        <w:t xml:space="preserve">And what </w:t>
      </w:r>
      <w:r w:rsidR="005F0723">
        <w:t xml:space="preserve">treatment </w:t>
      </w:r>
      <w:r w:rsidR="007A01CA">
        <w:t xml:space="preserve">is appropriate </w:t>
      </w:r>
      <w:r w:rsidR="005F0723">
        <w:t>when the standard s</w:t>
      </w:r>
      <w:r w:rsidR="007A01CA">
        <w:t>a</w:t>
      </w:r>
      <w:r w:rsidR="005F0723">
        <w:t>ys</w:t>
      </w:r>
      <w:r w:rsidR="007A01CA">
        <w:t>,</w:t>
      </w:r>
      <w:r w:rsidR="005F0723">
        <w:t xml:space="preserve"> by implication</w:t>
      </w:r>
      <w:r w:rsidR="007A01CA">
        <w:t>,</w:t>
      </w:r>
      <w:r w:rsidR="005F0723">
        <w:t xml:space="preserve"> </w:t>
      </w:r>
      <w:r w:rsidR="0063019D">
        <w:t xml:space="preserve">that </w:t>
      </w:r>
      <w:r w:rsidR="00003A05">
        <w:t xml:space="preserve">not all transgender people are </w:t>
      </w:r>
      <w:r w:rsidR="005F0723">
        <w:t>‘</w:t>
      </w:r>
      <w:r w:rsidR="005F0723" w:rsidRPr="002E43DB">
        <w:rPr>
          <w:i/>
          <w:iCs/>
        </w:rPr>
        <w:t>gender diverse’</w:t>
      </w:r>
      <w:r w:rsidR="00C14572">
        <w:t>?</w:t>
      </w:r>
    </w:p>
    <w:p w14:paraId="2A3F09F9" w14:textId="462A62C0" w:rsidR="00890B23" w:rsidRPr="006D64E1" w:rsidRDefault="00876999" w:rsidP="006D64E1">
      <w:pPr>
        <w:pStyle w:val="ListParagraph"/>
      </w:pPr>
      <w:r w:rsidRPr="00257D7B">
        <w:t xml:space="preserve">A </w:t>
      </w:r>
      <w:r w:rsidR="003148A5" w:rsidRPr="00257D7B">
        <w:t xml:space="preserve">conflation of </w:t>
      </w:r>
      <w:r w:rsidR="002540F5" w:rsidRPr="00257D7B">
        <w:t xml:space="preserve">being </w:t>
      </w:r>
      <w:r w:rsidR="003148A5" w:rsidRPr="00257D7B">
        <w:t>gender divers</w:t>
      </w:r>
      <w:r w:rsidR="002540F5" w:rsidRPr="00257D7B">
        <w:t>e</w:t>
      </w:r>
      <w:r w:rsidR="003148A5" w:rsidRPr="00257D7B">
        <w:t xml:space="preserve"> with being transgender is common </w:t>
      </w:r>
      <w:r w:rsidR="00F224EB" w:rsidRPr="00257D7B">
        <w:t>in transgender</w:t>
      </w:r>
      <w:r w:rsidR="00552DB4" w:rsidRPr="00257D7B">
        <w:t xml:space="preserve"> </w:t>
      </w:r>
      <w:r w:rsidR="00772E3F">
        <w:t xml:space="preserve">literature </w:t>
      </w:r>
      <w:r w:rsidR="00711DFC">
        <w:t xml:space="preserve">and in </w:t>
      </w:r>
      <w:r w:rsidR="00902322" w:rsidRPr="00257D7B">
        <w:t>a paper referenced by the PATHA Guideline</w:t>
      </w:r>
      <w:r w:rsidR="00800762" w:rsidRPr="00257D7B">
        <w:t>,</w:t>
      </w:r>
      <w:r w:rsidR="002F3735" w:rsidRPr="00257D7B">
        <w:t xml:space="preserve"> </w:t>
      </w:r>
      <w:r w:rsidR="00A27DEE" w:rsidRPr="00257D7B">
        <w:rPr>
          <w:i/>
        </w:rPr>
        <w:fldChar w:fldCharType="begin"/>
      </w:r>
      <w:r w:rsidR="00A27DEE" w:rsidRPr="00257D7B">
        <w:instrText xml:space="preserve"> ADDIN ZOTERO_ITEM CSL_CITATION {"citationID":"ERsdDS1B","properties":{"formattedCitation":"(Ehrensaft, 2017)","plainCitation":"(Ehrensaft, 2017)","noteIndex":0},"citationItems":[{"id":7913,"uris":["http://zotero.org/groups/4882545/items/BWAEDSKD"],"itemData":{"id":7913,"type":"article-journal","abstract":"Beginning with a case vignette, a discussion follows of the reformulation of theories of gender development taking into consideration the recent upsurge of gender nonconforming and transgender youth presenting for gender services and also in the culture at large. The three predominant models of pediatric gender care are reviewed and critiqued, along with a presentation of the recently developed interdisciplinary model of gender care optimal in the treatment of gender nonconforming youth seeking either puberty blockers or cross-sex hormones.","container-title":"Adolescent Health, Medicine and Therapeutics","DOI":"10.2147/AHMT.S110859","ISSN":"1179-318X","journalAbbreviation":"Adolesc Health Med Ther","note":"PMID: 28579848\nPMCID: PMC5448699","page":"57-67","source":"PubMed Central","title":"Gender nonconforming youth: current perspectives","title-short":"Gender nonconforming youth","URL":"https://www.ncbi.nlm.nih.gov/pmc/articles/PMC5448699/","volume":"8","author":[{"family":"Ehrensaft","given":"Diane"}],"accessed":{"date-parts":[["2021",3,9]]},"issued":{"date-parts":[["2017",5,25]]}}}],"schema":"https://github.com/citation-style-language/schema/raw/master/csl-citation.json"} </w:instrText>
      </w:r>
      <w:r w:rsidR="00A27DEE" w:rsidRPr="00257D7B">
        <w:rPr>
          <w:i/>
        </w:rPr>
        <w:fldChar w:fldCharType="separate"/>
      </w:r>
      <w:r w:rsidR="00A27DEE" w:rsidRPr="00257D7B">
        <w:t>(Ehrensaft, 2017)</w:t>
      </w:r>
      <w:r w:rsidR="00A27DEE" w:rsidRPr="00257D7B">
        <w:rPr>
          <w:i/>
        </w:rPr>
        <w:fldChar w:fldCharType="end"/>
      </w:r>
      <w:r w:rsidR="00253ABB" w:rsidRPr="00257D7B">
        <w:t xml:space="preserve"> </w:t>
      </w:r>
      <w:r w:rsidR="004C332F">
        <w:t xml:space="preserve">psychologist Dr Diane Ehrensaft </w:t>
      </w:r>
      <w:r w:rsidR="00253ABB" w:rsidRPr="00257D7B">
        <w:t>describes</w:t>
      </w:r>
      <w:r w:rsidR="00B574D0">
        <w:t>,</w:t>
      </w:r>
      <w:r w:rsidR="00253ABB" w:rsidRPr="00257D7B">
        <w:t xml:space="preserve"> </w:t>
      </w:r>
      <w:r w:rsidR="006853FB" w:rsidRPr="00257D7B">
        <w:t>as transgender</w:t>
      </w:r>
      <w:r w:rsidR="00B574D0">
        <w:t>,</w:t>
      </w:r>
      <w:r w:rsidR="006853FB" w:rsidRPr="00257D7B">
        <w:t xml:space="preserve"> </w:t>
      </w:r>
      <w:r w:rsidR="00253ABB" w:rsidRPr="00257D7B">
        <w:t xml:space="preserve">a gender non-conforming </w:t>
      </w:r>
      <w:r w:rsidR="00BD662F" w:rsidRPr="00257D7B">
        <w:t>lesbian</w:t>
      </w:r>
      <w:r w:rsidR="006853FB" w:rsidRPr="00257D7B">
        <w:t xml:space="preserve"> </w:t>
      </w:r>
      <w:r w:rsidR="00552DB4" w:rsidRPr="00257D7B">
        <w:t xml:space="preserve">who </w:t>
      </w:r>
      <w:r w:rsidR="006853FB" w:rsidRPr="00257D7B">
        <w:t>find</w:t>
      </w:r>
      <w:r w:rsidR="00552DB4" w:rsidRPr="00257D7B">
        <w:t>s</w:t>
      </w:r>
      <w:r w:rsidR="006853FB" w:rsidRPr="00257D7B">
        <w:t xml:space="preserve"> out about being transgender on social media </w:t>
      </w:r>
      <w:r w:rsidR="00BD662F" w:rsidRPr="00257D7B">
        <w:t xml:space="preserve">and </w:t>
      </w:r>
      <w:r w:rsidR="00527C42" w:rsidRPr="00257D7B">
        <w:t xml:space="preserve">who </w:t>
      </w:r>
      <w:r w:rsidR="005C19B0">
        <w:t>is</w:t>
      </w:r>
      <w:r w:rsidR="00527C42" w:rsidRPr="00257D7B">
        <w:t xml:space="preserve"> </w:t>
      </w:r>
      <w:r w:rsidR="00552DB4" w:rsidRPr="00257D7B">
        <w:t xml:space="preserve">then </w:t>
      </w:r>
      <w:r w:rsidR="00BD662F" w:rsidRPr="00257D7B">
        <w:t>encouraged by her partner to cons</w:t>
      </w:r>
      <w:r w:rsidR="00902322" w:rsidRPr="00257D7B">
        <w:t>i</w:t>
      </w:r>
      <w:r w:rsidR="00BD662F" w:rsidRPr="00257D7B">
        <w:t>der herself as male</w:t>
      </w:r>
      <w:r w:rsidR="00527C42" w:rsidRPr="00257D7B">
        <w:t xml:space="preserve">. The </w:t>
      </w:r>
      <w:r w:rsidR="005C19B0">
        <w:t>referencing</w:t>
      </w:r>
      <w:r w:rsidR="00847CD3">
        <w:t xml:space="preserve"> of this research </w:t>
      </w:r>
      <w:r w:rsidR="00527C42" w:rsidRPr="00257D7B">
        <w:t>r</w:t>
      </w:r>
      <w:r w:rsidR="007108F7" w:rsidRPr="00257D7B">
        <w:t>ais</w:t>
      </w:r>
      <w:r w:rsidR="00527C42" w:rsidRPr="00257D7B">
        <w:t>e</w:t>
      </w:r>
      <w:r w:rsidR="00847CD3">
        <w:t>s</w:t>
      </w:r>
      <w:r w:rsidR="007108F7" w:rsidRPr="00257D7B">
        <w:t xml:space="preserve"> red flags</w:t>
      </w:r>
      <w:r w:rsidR="00DE3A09">
        <w:t>,</w:t>
      </w:r>
      <w:r w:rsidR="007108F7" w:rsidRPr="00257D7B">
        <w:t xml:space="preserve"> about </w:t>
      </w:r>
      <w:r w:rsidR="00561320" w:rsidRPr="00257D7B">
        <w:t xml:space="preserve">whether </w:t>
      </w:r>
      <w:r w:rsidR="00847CD3">
        <w:t xml:space="preserve">PATHA </w:t>
      </w:r>
      <w:r w:rsidR="00B600C4">
        <w:t xml:space="preserve">also </w:t>
      </w:r>
      <w:r w:rsidR="00847CD3">
        <w:t xml:space="preserve">regards as </w:t>
      </w:r>
      <w:r w:rsidR="00D1465A">
        <w:t>transgender</w:t>
      </w:r>
      <w:r w:rsidR="008A6A70">
        <w:t>,</w:t>
      </w:r>
      <w:r w:rsidR="00D1465A">
        <w:t xml:space="preserve"> people </w:t>
      </w:r>
      <w:r w:rsidR="00396C4D" w:rsidRPr="00396C4D">
        <w:t>influenced by social media and social pressure</w:t>
      </w:r>
      <w:r w:rsidR="00396C4D">
        <w:t xml:space="preserve"> </w:t>
      </w:r>
      <w:r w:rsidR="008A6A70">
        <w:t>w</w:t>
      </w:r>
      <w:r w:rsidR="003D6933">
        <w:t>hen</w:t>
      </w:r>
      <w:r w:rsidR="001E1E1D">
        <w:t xml:space="preserve"> homophobia</w:t>
      </w:r>
      <w:r w:rsidR="003D6933">
        <w:t xml:space="preserve"> has not been ruled out. </w:t>
      </w:r>
      <w:r w:rsidR="001E1E1D">
        <w:t xml:space="preserve"> </w:t>
      </w:r>
    </w:p>
    <w:p w14:paraId="2AD88E1E" w14:textId="1A263827" w:rsidR="00FF492B" w:rsidRPr="00683BB6" w:rsidRDefault="00FF492B" w:rsidP="00885484">
      <w:r w:rsidRPr="00683BB6">
        <w:t>In contrast SOC 7 is much clearer</w:t>
      </w:r>
      <w:r w:rsidR="008E4B3A">
        <w:t xml:space="preserve">, and takes a conservative stance, </w:t>
      </w:r>
      <w:r w:rsidRPr="00683BB6">
        <w:t xml:space="preserve">stating </w:t>
      </w:r>
      <w:r w:rsidR="008E4B3A">
        <w:t xml:space="preserve"> that </w:t>
      </w:r>
      <w:r w:rsidRPr="00683BB6">
        <w:t>‘</w:t>
      </w:r>
      <w:r w:rsidRPr="006E4599">
        <w:rPr>
          <w:i/>
          <w:iCs/>
        </w:rPr>
        <w:t>only some gender nonconforming people experience gender dysphoria at some point in their lives’</w:t>
      </w:r>
      <w:r w:rsidR="00C40D91" w:rsidRPr="00683BB6">
        <w:t xml:space="preserve"> </w:t>
      </w:r>
      <w:r w:rsidRPr="00683BB6">
        <w:t>.</w:t>
      </w:r>
    </w:p>
    <w:p w14:paraId="2D6AD76C" w14:textId="0C705BCA" w:rsidR="008716ED" w:rsidRDefault="008716ED" w:rsidP="008716ED">
      <w:pPr>
        <w:pStyle w:val="Heading4"/>
      </w:pPr>
      <w:r w:rsidRPr="004E2AED">
        <w:t xml:space="preserve">Creating a </w:t>
      </w:r>
      <w:r w:rsidR="00443305" w:rsidRPr="004E2AED">
        <w:t>knowl</w:t>
      </w:r>
      <w:r w:rsidR="00443305">
        <w:t>ed</w:t>
      </w:r>
      <w:r w:rsidR="00443305" w:rsidRPr="004E2AED">
        <w:t>geable</w:t>
      </w:r>
      <w:r w:rsidRPr="004E2AED">
        <w:t xml:space="preserve"> and multidisciplinary panel across skill areas and viewpoints</w:t>
      </w:r>
      <w:r>
        <w:t xml:space="preserve"> </w:t>
      </w:r>
    </w:p>
    <w:p w14:paraId="7D21FDFB" w14:textId="2ADCC618" w:rsidR="00FF492B" w:rsidRDefault="00FD04A1" w:rsidP="00885484">
      <w:pPr>
        <w:rPr>
          <w:color w:val="000000"/>
        </w:rPr>
      </w:pPr>
      <w:r>
        <w:t>Most, possibly all</w:t>
      </w:r>
      <w:r w:rsidR="004F0F83">
        <w:t>,</w:t>
      </w:r>
      <w:r>
        <w:t xml:space="preserve"> of authors</w:t>
      </w:r>
      <w:r w:rsidR="00FF492B">
        <w:t xml:space="preserve"> appear to have become members of </w:t>
      </w:r>
      <w:r w:rsidR="009200B5">
        <w:t>PATHA,</w:t>
      </w:r>
      <w:r w:rsidR="00FF492B">
        <w:t xml:space="preserve"> and several are members of WPATH</w:t>
      </w:r>
      <w:r w:rsidR="00DC6BDD">
        <w:t xml:space="preserve">. </w:t>
      </w:r>
      <w:r w:rsidR="002746F5">
        <w:t>A</w:t>
      </w:r>
      <w:r w:rsidR="00CF6694">
        <w:t xml:space="preserve"> number work in youth or </w:t>
      </w:r>
      <w:r w:rsidR="00514FCF">
        <w:t>gender clinics</w:t>
      </w:r>
      <w:r w:rsidR="00B76BF5">
        <w:t xml:space="preserve"> </w:t>
      </w:r>
      <w:r w:rsidR="00202BDE">
        <w:t>but ot</w:t>
      </w:r>
      <w:r w:rsidR="00B76BF5">
        <w:t>hers have no clinical background</w:t>
      </w:r>
      <w:r w:rsidR="00FF492B">
        <w:t xml:space="preserve">. </w:t>
      </w:r>
      <w:r w:rsidR="00930763">
        <w:t xml:space="preserve">Some are themselves transgender. </w:t>
      </w:r>
      <w:r w:rsidR="00C67851">
        <w:t xml:space="preserve">It is not clear whether </w:t>
      </w:r>
      <w:r>
        <w:t>authors</w:t>
      </w:r>
      <w:r w:rsidR="00C67851">
        <w:t xml:space="preserve"> are working </w:t>
      </w:r>
      <w:r>
        <w:t xml:space="preserve">on the guideline </w:t>
      </w:r>
      <w:r w:rsidR="00C67851">
        <w:t xml:space="preserve">in a personal </w:t>
      </w:r>
      <w:r w:rsidR="002C626B">
        <w:t>capacity</w:t>
      </w:r>
      <w:r w:rsidR="005D4DF0">
        <w:t>,</w:t>
      </w:r>
      <w:r w:rsidR="002C626B">
        <w:t xml:space="preserve"> </w:t>
      </w:r>
      <w:r w:rsidR="00C705F6">
        <w:t>as part</w:t>
      </w:r>
      <w:r w:rsidR="002C626B">
        <w:t xml:space="preserve"> of </w:t>
      </w:r>
      <w:r w:rsidR="00C705F6">
        <w:t>a self-selected interest group</w:t>
      </w:r>
      <w:r w:rsidR="005D4DF0">
        <w:t>,</w:t>
      </w:r>
      <w:r w:rsidR="002C626B">
        <w:t xml:space="preserve"> or on behalf of their professional organisations or their employers. </w:t>
      </w:r>
      <w:r w:rsidR="00E13D5C">
        <w:t>I</w:t>
      </w:r>
      <w:r w:rsidR="00FF492B">
        <w:t>t is not clear that any represents the interests or viewpoints of Tangata Whenua</w:t>
      </w:r>
      <w:r w:rsidR="00E13D5C">
        <w:t xml:space="preserve"> or has </w:t>
      </w:r>
      <w:r w:rsidR="007870D3">
        <w:t>tribal affiliations</w:t>
      </w:r>
      <w:r w:rsidR="00FF492B">
        <w:t xml:space="preserve">. </w:t>
      </w:r>
      <w:r w:rsidR="002970C9">
        <w:t>It</w:t>
      </w:r>
      <w:r w:rsidR="00FF492B">
        <w:t xml:space="preserve"> appears that none are surgeons</w:t>
      </w:r>
      <w:r w:rsidR="00D273B6">
        <w:t xml:space="preserve">, </w:t>
      </w:r>
      <w:r w:rsidR="00FF492B">
        <w:t>endocrinologists or psychiatrists</w:t>
      </w:r>
      <w:r w:rsidR="00800762">
        <w:t xml:space="preserve">. These </w:t>
      </w:r>
      <w:r w:rsidR="00E52CC1">
        <w:t xml:space="preserve">latter </w:t>
      </w:r>
      <w:r w:rsidR="00800762">
        <w:t xml:space="preserve">are </w:t>
      </w:r>
      <w:r w:rsidR="00434CFC">
        <w:t xml:space="preserve">presumably the kinds of people who </w:t>
      </w:r>
      <w:r w:rsidR="00BC5639">
        <w:t>would provide diversity across skill areas</w:t>
      </w:r>
      <w:r w:rsidR="005D4DF0">
        <w:t>,</w:t>
      </w:r>
      <w:r w:rsidR="00BC5639">
        <w:t xml:space="preserve"> and who </w:t>
      </w:r>
      <w:r>
        <w:t>should</w:t>
      </w:r>
      <w:r w:rsidR="0048747E">
        <w:t xml:space="preserve"> </w:t>
      </w:r>
      <w:r w:rsidR="00434CFC">
        <w:t xml:space="preserve">be staffing the </w:t>
      </w:r>
      <w:r w:rsidR="00024A63">
        <w:t xml:space="preserve">multi-disciplinary teams that </w:t>
      </w:r>
      <w:r w:rsidR="005F6A91">
        <w:t>the PATHA Guideline</w:t>
      </w:r>
      <w:r w:rsidR="008703BD">
        <w:t>’s re</w:t>
      </w:r>
      <w:r w:rsidR="0059488E">
        <w:t>commendation</w:t>
      </w:r>
      <w:r w:rsidR="008703BD">
        <w:t xml:space="preserve"> on this point</w:t>
      </w:r>
      <w:r w:rsidR="00024A63">
        <w:t xml:space="preserve"> argues for</w:t>
      </w:r>
      <w:r w:rsidR="00800762">
        <w:t>,</w:t>
      </w:r>
      <w:r w:rsidR="0048747E">
        <w:t xml:space="preserve"> and who </w:t>
      </w:r>
      <w:r w:rsidR="00DD1446">
        <w:t xml:space="preserve">should </w:t>
      </w:r>
      <w:r w:rsidR="00280057">
        <w:t xml:space="preserve">therefore </w:t>
      </w:r>
      <w:r w:rsidR="00DD1446">
        <w:t xml:space="preserve">be </w:t>
      </w:r>
      <w:r w:rsidR="0048747E">
        <w:t>stakeholders in the Guideline</w:t>
      </w:r>
      <w:r w:rsidR="002F5870">
        <w:t>’s development</w:t>
      </w:r>
      <w:r w:rsidR="00DD2767">
        <w:t xml:space="preserve"> </w:t>
      </w:r>
      <w:r w:rsidR="00DC466C">
        <w:fldChar w:fldCharType="begin"/>
      </w:r>
      <w:r w:rsidR="00DC466C">
        <w:instrText xml:space="preserve"> ADDIN ZOTERO_ITEM CSL_CITATION {"citationID":"1fD3iYME","properties":{"formattedCitation":"(Leibowitz &amp; de Vries, 2016)","plainCitation":"(Leibowitz &amp; de Vries, 2016)","noteIndex":0},"citationItems":[{"id":11751,"uris":["http://zotero.org/groups/4882545/items/MX5D5UIB"],"itemData":{"id":11751,"type":"article-journal","abstract":"Adolescents presenting with gender-related concerns are increasingly seeking support from providers from a variety of disciplines within health care settings across the world. For those treating young people who meet the criteria for the DSM 5 diagnosis of gender dysphoria (GD), complex decisions in clinical care are common. Defining best practice with this population with respect to interventions that span mental health, physical, and surgical domains can be challenging, given a relative dearth of empirical data available; yet practice guidelines have emerged from different professional organizations which can aid with this. For this review paper, a broad literature search was performed to identify relevant studies pertaining to the care of adolescents with GD. In addition, an overview of trends in clinical practice, including shifts in conceptualization of how clinicians and patients define care that is considered affirming when working with this population, is described. This paper explores the characteristics of referral patterns to specialized clinics, provides a brief overview of gender identity development in adolescence, and then describes the phenomenology of known aetiological factors and co-occurring psychiatric issues in adolescents with GD. Additionally, clinical management considerations that detail assessment aims and common treatment interventions across disciplines will be explored.","container-title":"International Review of Psychiatry","DOI":"10.3109/09540261.2015.1124844","ISSN":"0954-0261","issue":"1","note":"publisher: Taylor &amp; Francis\n_eprint: https://doi.org/10.3109/09540261.2015.1124844\nPMID: 26828376","page":"21-35","source":"Taylor and Francis+NEJM","title":"Gender dysphoria in adolescence","URL":"https://doi.org/10.3109/09540261.2015.1124844","volume":"28","author":[{"family":"Leibowitz","given":"Scott"},{"family":"Vries","given":"Annelou L.C.","non-dropping-particle":"de"}],"accessed":{"date-parts":[["2023",7,17]]},"issued":{"date-parts":[["2016",1,2]]}}}],"schema":"https://github.com/citation-style-language/schema/raw/master/csl-citation.json"} </w:instrText>
      </w:r>
      <w:r w:rsidR="00DC466C">
        <w:fldChar w:fldCharType="separate"/>
      </w:r>
      <w:r w:rsidR="00DC466C" w:rsidRPr="00DC466C">
        <w:rPr>
          <w:rFonts w:cs="Calibri"/>
        </w:rPr>
        <w:t>(Leibowitz &amp; de Vries, 2016)</w:t>
      </w:r>
      <w:r w:rsidR="00DC466C">
        <w:fldChar w:fldCharType="end"/>
      </w:r>
      <w:r w:rsidR="00800762">
        <w:t>.</w:t>
      </w:r>
    </w:p>
    <w:p w14:paraId="4B616B5C" w14:textId="77777777" w:rsidR="00087092" w:rsidRDefault="00087092" w:rsidP="00885484">
      <w:pPr>
        <w:pStyle w:val="Heading4"/>
      </w:pPr>
      <w:r>
        <w:t>Consider patient and clinician subgroups and preferences</w:t>
      </w:r>
    </w:p>
    <w:p w14:paraId="30F7B1A6" w14:textId="2E80E404" w:rsidR="006424AD" w:rsidRDefault="00125385" w:rsidP="00885484">
      <w:r w:rsidRPr="00794CD7">
        <w:t xml:space="preserve">There is no evidence that the </w:t>
      </w:r>
      <w:r w:rsidRPr="00291225">
        <w:t>professional clinical</w:t>
      </w:r>
      <w:r w:rsidRPr="00794CD7">
        <w:t xml:space="preserve"> groups beyond </w:t>
      </w:r>
      <w:r w:rsidR="00F05FBB">
        <w:t>the listed authors</w:t>
      </w:r>
      <w:r w:rsidRPr="00794CD7">
        <w:t xml:space="preserve"> were involved in writing the </w:t>
      </w:r>
      <w:r w:rsidR="00E60B57">
        <w:t>PATHA Guideline.</w:t>
      </w:r>
      <w:r w:rsidRPr="00794CD7">
        <w:t xml:space="preserve"> The</w:t>
      </w:r>
      <w:r>
        <w:t xml:space="preserve"> </w:t>
      </w:r>
      <w:r w:rsidR="006856C8">
        <w:t xml:space="preserve">introduction </w:t>
      </w:r>
      <w:r w:rsidR="00454A7F">
        <w:t>to the P</w:t>
      </w:r>
      <w:r>
        <w:t>ATHA Guideline</w:t>
      </w:r>
      <w:r w:rsidR="002B58FB">
        <w:t xml:space="preserve"> gives </w:t>
      </w:r>
      <w:r w:rsidR="006856C8">
        <w:t>acknowledgment to</w:t>
      </w:r>
      <w:r>
        <w:t xml:space="preserve"> many clinicians and transgender people</w:t>
      </w:r>
      <w:r w:rsidR="002C7DE0">
        <w:t>,</w:t>
      </w:r>
      <w:r>
        <w:t xml:space="preserve"> and an organisation, Gender Minorities Aotearoa, without whom the PATHA Guideline ‘</w:t>
      </w:r>
      <w:r>
        <w:rPr>
          <w:i/>
          <w:iCs/>
        </w:rPr>
        <w:t>would not have been possible</w:t>
      </w:r>
      <w:r>
        <w:t>’ but specific roles are no</w:t>
      </w:r>
      <w:r w:rsidR="001A315A">
        <w:t>t record</w:t>
      </w:r>
      <w:r>
        <w:t xml:space="preserve">ed. </w:t>
      </w:r>
    </w:p>
    <w:p w14:paraId="3E5EF94A" w14:textId="77777777" w:rsidR="000D797C" w:rsidRDefault="000D797C" w:rsidP="00885484">
      <w:r>
        <w:t>Clinician Subgroups.</w:t>
      </w:r>
    </w:p>
    <w:p w14:paraId="31C41825" w14:textId="11D67AE0" w:rsidR="000F612B" w:rsidRDefault="00125385" w:rsidP="00885484">
      <w:r>
        <w:t xml:space="preserve">The PATHA Guideline was endorsed at publication by </w:t>
      </w:r>
      <w:r w:rsidR="002C7DE0">
        <w:t xml:space="preserve">three organisations: </w:t>
      </w:r>
      <w:r>
        <w:t>AusPATH</w:t>
      </w:r>
      <w:r w:rsidR="006A2E36">
        <w:t>;</w:t>
      </w:r>
      <w:r>
        <w:t xml:space="preserve"> the New Zealand Sexual Health Society and the New Zealand Society of Endocrinology and so presumably principals from those organisations felt able to promote its endorsement within their own organisations through some unspecified process.</w:t>
      </w:r>
      <w:r w:rsidR="008613E0">
        <w:t xml:space="preserve"> There is no evidence that clinician subgroups from specific professional areas such as </w:t>
      </w:r>
      <w:r w:rsidR="00A278CB">
        <w:t>psychiatry</w:t>
      </w:r>
      <w:r w:rsidR="00D44945">
        <w:t xml:space="preserve">, </w:t>
      </w:r>
      <w:r w:rsidR="008613E0">
        <w:t xml:space="preserve">paediatric or endocrinology services were invited to participate in the development of the </w:t>
      </w:r>
      <w:r w:rsidR="00834247">
        <w:t>Guideline.</w:t>
      </w:r>
      <w:r>
        <w:t xml:space="preserve"> </w:t>
      </w:r>
    </w:p>
    <w:p w14:paraId="5CAF2BC6" w14:textId="487DDD47" w:rsidR="000F612B" w:rsidRPr="000F612B" w:rsidRDefault="000F612B" w:rsidP="00885484">
      <w:r w:rsidRPr="000F612B">
        <w:t>Patient subgroups</w:t>
      </w:r>
    </w:p>
    <w:p w14:paraId="3074458B" w14:textId="003A6E89" w:rsidR="00D7398C" w:rsidRDefault="003C040C" w:rsidP="00885484">
      <w:r>
        <w:t>On the other hand t</w:t>
      </w:r>
      <w:r w:rsidR="00125385">
        <w:t xml:space="preserve">he involvement of the transgender community has gone </w:t>
      </w:r>
      <w:r w:rsidR="00E06FA2">
        <w:t xml:space="preserve">well </w:t>
      </w:r>
      <w:r w:rsidR="00125385">
        <w:t xml:space="preserve">beyond the approach taken by WPATH and </w:t>
      </w:r>
      <w:r w:rsidR="00CF30EE">
        <w:t xml:space="preserve">this </w:t>
      </w:r>
      <w:r w:rsidR="00125385">
        <w:t xml:space="preserve">is discussed in </w:t>
      </w:r>
      <w:r w:rsidR="00CF30EE">
        <w:t xml:space="preserve">more detail in </w:t>
      </w:r>
      <w:r w:rsidR="00125385">
        <w:t xml:space="preserve">the </w:t>
      </w:r>
      <w:r w:rsidR="0012276B">
        <w:t xml:space="preserve">section below which compares </w:t>
      </w:r>
      <w:r w:rsidR="00125385">
        <w:t xml:space="preserve">the PATHA Guideline recommendations </w:t>
      </w:r>
      <w:r w:rsidR="0012276B">
        <w:t xml:space="preserve">to </w:t>
      </w:r>
      <w:r w:rsidR="00125385">
        <w:t xml:space="preserve">those of WPATH SOC 7. </w:t>
      </w:r>
    </w:p>
    <w:p w14:paraId="6DF2D1D7" w14:textId="46A12E26" w:rsidR="00087092" w:rsidRPr="00577E81" w:rsidRDefault="00087092" w:rsidP="00885484">
      <w:pPr>
        <w:pStyle w:val="Heading4"/>
      </w:pPr>
      <w:r>
        <w:lastRenderedPageBreak/>
        <w:t>Carry out a</w:t>
      </w:r>
      <w:r w:rsidRPr="00577E81">
        <w:t xml:space="preserve"> systematic review of the evidence</w:t>
      </w:r>
    </w:p>
    <w:p w14:paraId="43ADB272" w14:textId="567FD8A3" w:rsidR="00D64398" w:rsidRPr="00482560" w:rsidRDefault="00D64398" w:rsidP="00885484">
      <w:r>
        <w:rPr>
          <w:lang w:val="mi-NZ"/>
        </w:rPr>
        <w:t xml:space="preserve">The Clinical Guideline Deveopment advice says that the evidence review should be used </w:t>
      </w:r>
      <w:r w:rsidR="00C81275">
        <w:rPr>
          <w:lang w:val="mi-NZ"/>
        </w:rPr>
        <w:t>as follows:</w:t>
      </w:r>
    </w:p>
    <w:p w14:paraId="79A38ACA" w14:textId="6C9BA57A" w:rsidR="00D64398" w:rsidRPr="00482560" w:rsidRDefault="00D64398" w:rsidP="006D64E1">
      <w:pPr>
        <w:pStyle w:val="ListParagraph"/>
        <w:numPr>
          <w:ilvl w:val="0"/>
          <w:numId w:val="38"/>
        </w:numPr>
      </w:pPr>
      <w:r w:rsidRPr="00482560">
        <w:t xml:space="preserve">The strengths and limitations of the body of evidence </w:t>
      </w:r>
      <w:r w:rsidR="00C81275">
        <w:t xml:space="preserve">should be </w:t>
      </w:r>
      <w:r w:rsidRPr="00482560">
        <w:t>clearly described.</w:t>
      </w:r>
    </w:p>
    <w:p w14:paraId="73597B40" w14:textId="77777777" w:rsidR="00A95FD5" w:rsidRDefault="00C81275" w:rsidP="006D64E1">
      <w:pPr>
        <w:pStyle w:val="ListParagraph"/>
        <w:numPr>
          <w:ilvl w:val="0"/>
          <w:numId w:val="38"/>
        </w:numPr>
      </w:pPr>
      <w:r>
        <w:t>There should be a q</w:t>
      </w:r>
      <w:r w:rsidR="00D64398">
        <w:t>uality assessment of the primary studies</w:t>
      </w:r>
    </w:p>
    <w:p w14:paraId="783DE840" w14:textId="702F274C" w:rsidR="00651A9B" w:rsidRDefault="00651A9B" w:rsidP="00885484">
      <w:r w:rsidRPr="00794CD7">
        <w:rPr>
          <w:lang w:val="mi-NZ"/>
        </w:rPr>
        <w:t>The PATHA Guideline provides no indication of a systematic evidence review having taken place</w:t>
      </w:r>
      <w:r w:rsidR="005D4DF0">
        <w:rPr>
          <w:lang w:val="mi-NZ"/>
        </w:rPr>
        <w:t>,</w:t>
      </w:r>
      <w:r w:rsidR="00D762A4">
        <w:rPr>
          <w:lang w:val="mi-NZ"/>
        </w:rPr>
        <w:t xml:space="preserve"> or of the evidence </w:t>
      </w:r>
      <w:r w:rsidR="008602BD">
        <w:rPr>
          <w:lang w:val="mi-NZ"/>
        </w:rPr>
        <w:t>being analysed for quality</w:t>
      </w:r>
      <w:r w:rsidRPr="00794CD7">
        <w:rPr>
          <w:lang w:val="mi-NZ"/>
        </w:rPr>
        <w:t xml:space="preserve">. No process for selecting resources is outlined and a surprisingly modest 52 </w:t>
      </w:r>
      <w:r w:rsidR="00F73D8D">
        <w:rPr>
          <w:lang w:val="mi-NZ"/>
        </w:rPr>
        <w:t xml:space="preserve">references </w:t>
      </w:r>
      <w:r w:rsidRPr="00794CD7">
        <w:rPr>
          <w:lang w:val="mi-NZ"/>
        </w:rPr>
        <w:t>are listed, of which</w:t>
      </w:r>
      <w:r w:rsidR="00E47343">
        <w:rPr>
          <w:lang w:val="mi-NZ"/>
        </w:rPr>
        <w:t xml:space="preserve"> </w:t>
      </w:r>
      <w:r w:rsidR="000E7A62">
        <w:rPr>
          <w:lang w:val="mi-NZ"/>
        </w:rPr>
        <w:t>only half are</w:t>
      </w:r>
      <w:r w:rsidR="004E4467">
        <w:rPr>
          <w:lang w:val="mi-NZ"/>
        </w:rPr>
        <w:t xml:space="preserve"> </w:t>
      </w:r>
      <w:r w:rsidR="00E47343">
        <w:rPr>
          <w:lang w:val="mi-NZ"/>
        </w:rPr>
        <w:t xml:space="preserve">from peer-reviewed </w:t>
      </w:r>
      <w:r w:rsidR="008C5F17">
        <w:rPr>
          <w:lang w:val="mi-NZ"/>
        </w:rPr>
        <w:t>literature</w:t>
      </w:r>
      <w:r w:rsidRPr="00794CD7">
        <w:rPr>
          <w:lang w:val="mi-NZ"/>
        </w:rPr>
        <w:t xml:space="preserve"> </w:t>
      </w:r>
      <w:r w:rsidR="004E4467">
        <w:rPr>
          <w:lang w:val="mi-NZ"/>
        </w:rPr>
        <w:t xml:space="preserve">and </w:t>
      </w:r>
      <w:r w:rsidRPr="00794CD7">
        <w:rPr>
          <w:lang w:val="mi-NZ"/>
        </w:rPr>
        <w:t>a</w:t>
      </w:r>
      <w:r>
        <w:rPr>
          <w:lang w:val="mi-NZ"/>
        </w:rPr>
        <w:t xml:space="preserve"> </w:t>
      </w:r>
      <w:r w:rsidR="005D4DF0">
        <w:rPr>
          <w:lang w:val="mi-NZ"/>
        </w:rPr>
        <w:t xml:space="preserve">further </w:t>
      </w:r>
      <w:r>
        <w:rPr>
          <w:lang w:val="mi-NZ"/>
        </w:rPr>
        <w:t>quarter relate to the creation of the PATHA Guideline within a M</w:t>
      </w:r>
      <w:r>
        <w:rPr>
          <w:rFonts w:cs="Calibri"/>
          <w:lang w:val="mi-NZ"/>
        </w:rPr>
        <w:t>ā</w:t>
      </w:r>
      <w:r>
        <w:rPr>
          <w:lang w:val="mi-NZ"/>
        </w:rPr>
        <w:t>ori framework</w:t>
      </w:r>
      <w:r w:rsidR="00D762A4">
        <w:rPr>
          <w:lang w:val="mi-NZ"/>
        </w:rPr>
        <w:t>.</w:t>
      </w:r>
    </w:p>
    <w:p w14:paraId="394503C5" w14:textId="5A92E304" w:rsidR="004D7B58" w:rsidRDefault="00DF72B7" w:rsidP="00885484">
      <w:r>
        <w:t>T</w:t>
      </w:r>
      <w:r w:rsidR="007B103F">
        <w:t>h</w:t>
      </w:r>
      <w:r w:rsidR="00FF44B6">
        <w:t>us th</w:t>
      </w:r>
      <w:r w:rsidR="007B103F">
        <w:t xml:space="preserve">e clinical recommendations </w:t>
      </w:r>
      <w:r w:rsidR="009C5A06">
        <w:t xml:space="preserve">are </w:t>
      </w:r>
      <w:r w:rsidR="00FF44B6">
        <w:t>only</w:t>
      </w:r>
      <w:r w:rsidR="009C5A06">
        <w:t xml:space="preserve"> spar</w:t>
      </w:r>
      <w:r w:rsidR="006378FD">
        <w:t>ingly referenced</w:t>
      </w:r>
      <w:r w:rsidR="005F1F17">
        <w:t>.</w:t>
      </w:r>
      <w:r w:rsidR="00C20982">
        <w:t xml:space="preserve"> </w:t>
      </w:r>
      <w:r w:rsidR="002A550A">
        <w:t>Of the papers that make the case for affirmation</w:t>
      </w:r>
      <w:r w:rsidR="00800762">
        <w:t>,</w:t>
      </w:r>
      <w:r w:rsidR="002A550A">
        <w:t xml:space="preserve"> t</w:t>
      </w:r>
      <w:r w:rsidR="006378FD">
        <w:t xml:space="preserve">wo </w:t>
      </w:r>
      <w:r w:rsidR="007D5942">
        <w:t xml:space="preserve">are </w:t>
      </w:r>
      <w:r w:rsidR="006378FD">
        <w:t xml:space="preserve">from the </w:t>
      </w:r>
      <w:r w:rsidR="00256B15">
        <w:t xml:space="preserve">foundational </w:t>
      </w:r>
      <w:r w:rsidR="00E46F5E">
        <w:t>‘</w:t>
      </w:r>
      <w:r w:rsidR="006378FD">
        <w:t xml:space="preserve">Dutch </w:t>
      </w:r>
      <w:r w:rsidR="00E46F5E">
        <w:t>protocol’</w:t>
      </w:r>
      <w:r w:rsidR="00781EA5">
        <w:fldChar w:fldCharType="begin"/>
      </w:r>
      <w:r w:rsidR="003419E8">
        <w:instrText xml:space="preserve"> ADDIN ZOTERO_ITEM CSL_CITATION {"citationID":"jX1GYpLm","properties":{"formattedCitation":"(de Vries et al., 2011; De Vries et al., 2014)","plainCitation":"(de Vries et al., 2011; De Vries et al., 2014)","noteIndex":0},"citationItems":[{"id":10147,"uris":["http://zotero.org/groups/4882545/items/SUTMKPXN"],"itemData":{"id":10147,"type":"article-journal","abstract":"INTRODUCTION: Puberty suppression by means of gonadotropin-releasing hormone analogues (GnRHa) is used for young transsexuals between 12 and 16 years of age. The purpose of this intervention is to relieve the suffering caused by the development of secondary sex characteristics and to provide time to make a balanced decision regarding actual gender reassignment.\nAIM: To compare psychological functioning and gender dysphoria before and after puberty suppression in gender dysphoric adolescents.\nMETHODS: Of the first 70 eligible candidates who received puberty suppression between 2000 and 2008, psychological functioning and gender dysphoria were assessed twice: at T0, when attending the gender identity clinic, before the start of GnRHa; and at T1, shortly before the start of cross-sex hormone treatment.\nMAIN OUTCOME MEASURES: Behavioral and emotional problems (Child Behavior Checklist and the Youth-Self Report), depressive symptoms (Beck Depression Inventory), anxiety and anger (the Spielberger Trait Anxiety and Anger Scales), general functioning (the clinician's rated Children's Global Assessment Scale), gender dysphoria (the Utrecht Gender Dysphoria Scale), and body satisfaction (the Body Image Scale) were assessed.\nRESULTS: Behavioral and emotional problems and depressive symptoms decreased, while general functioning improved significantly during puberty suppression. Feelings of anxiety and anger did not change between T0 and T1. While changes over time were equal for both sexes, compared with natal males, natal females were older when they started puberty suppression and showed more problem behavior at both T0 and T1. Gender dysphoria and body satisfaction did not change between T0 and T1. No adolescent withdrew from puberty suppression, and all started cross-sex hormone treatment, the first step of actual gender reassignment.\nCONCLUSION: Puberty suppression may be considered a valuable contribution in the clinical management of gender dysphoria in adolescents.","container-title":"The Journal of Sexual Medicine","DOI":"10.1111/j.1743-6109.2010.01943.x","ISSN":"1743-6109","issue":"8","journalAbbreviation":"J Sex Med","language":"eng","note":"PMID: 20646177","page":"2276-2283","source":"PubMed","title":"Puberty suppression in adolescents with gender identity disorder: a prospective follow-up study","title-short":"Puberty suppression in adolescents with gender identity disorder","volume":"8","author":[{"family":"Vries","given":"Annelou L. C.","non-dropping-particle":"de"},{"family":"Steensma","given":"Thomas D."},{"family":"Doreleijers","given":"Theo A. H."},{"family":"Cohen-Kettenis","given":"Peggy T."}],"issued":{"date-parts":[["2011",8]]}}},{"id":7061,"uris":["http://zotero.org/groups/4752763/items/D2S8V2FP"],"itemData":{"id":7061,"type":"article-journal","abstract":"BACKGROUND: In recent years, puberty suppression by means of gonadotropin-releasing hormone analogs has become accepted in clinical management of adolescents who have gender dysphoria (GD). The current study is the first longer-term longitudinal evaluation of the effectiveness of this approach. METHODS: A total of 55 young transgender adults (22 transwomen and 33 transmen) who had received puberty suppression during adolescence were assessed 3 times: before the start of puberty suppression (mean age, 13.6 years), when cross-sex hormones were introduced (mean age, 16.7 years), and at least 1 year after gender reassignment surgery (mean age, 20.7 years). Psychological functioning (GD, body image, global functioning, depression, anxiety, emotional and behavioral problems) and objective (social and educational/professional functioning) and subjective (quality of life, satisfaction with life and happiness) well-being were investigated. RESULTS: After gender reassignment, in young adulthood, the GD was alleviated and psychological functioning had steadily improved. Wellbeing was similar to or better than same-age young adults from the general population. Improvements in psychological functioning were positively correlated with postsurgical subjective well-being. CONCLUSIONS: A clinical protocol of a multidisciplinary team with mental health professionals, physicians, and surgeons, including puberty suppression, followed by cross-sex hormones and gender reassignment surgery, provides gender dysphoric youth who seek gender reassignment from early puberty on, the opportunity to develop into well-functioning young adults.","container-title":"Pediatrics","DOI":"10.1542/peds.2013-2958","ISSN":"10984275","issue":"4","note":"PMID: 25201798\nCitation Key: DeVries2014a","page":"696-704","title":"Young adult psychological outcome after puberty suppression and gender reassignment","volume":"134","author":[{"family":"De Vries","given":"Annelou L.C."},{"family":"McGuire","given":"Jenifer K."},{"family":"Steensma","given":"Thomas D."},{"family":"Wagenaar","given":"Eva C.F."},{"family":"Doreleijers","given":"Theo A.H."},{"family":"Cohen-Kettenis","given":"Peggy T."}],"issued":{"date-parts":[["2014"]]}}}],"schema":"https://github.com/citation-style-language/schema/raw/master/csl-citation.json"} </w:instrText>
      </w:r>
      <w:r w:rsidR="00781EA5">
        <w:fldChar w:fldCharType="separate"/>
      </w:r>
      <w:r w:rsidR="003419E8" w:rsidRPr="00A95FD5">
        <w:rPr>
          <w:rFonts w:cs="Calibri"/>
        </w:rPr>
        <w:t>(de Vries et al., 2011; De Vries et al., 2014)</w:t>
      </w:r>
      <w:r w:rsidR="00781EA5">
        <w:fldChar w:fldCharType="end"/>
      </w:r>
      <w:r w:rsidR="00F8649F">
        <w:t xml:space="preserve">. </w:t>
      </w:r>
      <w:r w:rsidR="000F070D">
        <w:t>While they have been influential</w:t>
      </w:r>
      <w:r w:rsidR="00256B15">
        <w:t xml:space="preserve"> </w:t>
      </w:r>
      <w:r w:rsidR="000F070D">
        <w:t>t</w:t>
      </w:r>
      <w:r w:rsidR="00256B15">
        <w:t>he</w:t>
      </w:r>
      <w:r w:rsidR="000C2BD8">
        <w:t xml:space="preserve"> approach </w:t>
      </w:r>
      <w:r w:rsidR="00256B15">
        <w:t>ha</w:t>
      </w:r>
      <w:r w:rsidR="000C2BD8">
        <w:t>s</w:t>
      </w:r>
      <w:r w:rsidR="00256B15">
        <w:t xml:space="preserve"> subsequently </w:t>
      </w:r>
      <w:r w:rsidR="003B549E">
        <w:t xml:space="preserve">been analysed more fully and </w:t>
      </w:r>
      <w:r w:rsidR="00280074">
        <w:t xml:space="preserve">was </w:t>
      </w:r>
      <w:r w:rsidR="003B549E">
        <w:t xml:space="preserve">found </w:t>
      </w:r>
      <w:r w:rsidR="00F31DAD">
        <w:t>to be largely experimental</w:t>
      </w:r>
      <w:r w:rsidR="006B243D">
        <w:t xml:space="preserve"> and the associated research misleading</w:t>
      </w:r>
      <w:r w:rsidR="002E4E62">
        <w:t>.</w:t>
      </w:r>
      <w:r w:rsidR="000506A2">
        <w:fldChar w:fldCharType="begin"/>
      </w:r>
      <w:r w:rsidR="000506A2">
        <w:instrText xml:space="preserve"> ADDIN ZOTERO_ITEM CSL_CITATION {"citationID":"7Galfl1m","properties":{"formattedCitation":"(Abbruzzese et al., 2023; Biggs, 2022; Levine et al., 2022)","plainCitation":"(Abbruzzese et al., 2023; Biggs, 2022; Levine et al., 2022)","noteIndex":0},"citationItems":[{"id":7798,"uris":["http://zotero.org/groups/4882545/items/LCVYDAEF"],"itemData":{"id":7798,"type":"article-journal","abstract":"Two Dutch studies formed the foundation and the best available evidence for the practice of youth medical gender transition. We demonstrate that this work is methodologically flawed and should have never been used in medical settings as justification to scale this “innovative clinical practice.” Three methodological biases undermine the research: (1) subject selection assured that only the most successful cases were included in the results; (2) the finding that “resolution of gender dysphoria” was due to the reversal of the questionnaire employed; (3) concomitant psychotherapy made it impossible to separate the effects of this intervention from those of hormones and surgery. We discuss the significant risk of harm that the Dutch research exposed, as well as the lack of applicability of the Dutch protocol to the currently escalating incidence of adolescent-onset, non-binary, psychiatrically challenged youth, who are preponderantly natal females. \"Spin\" problems—the tendency to present weak or negative results as certain and positive—continue to plague reports that originate from clinics that are actively administering hormonal and surgical interventions to youth. It is time for gender medicine to pay attention to the published objective systematic reviews and to the outcome uncertainties and definable potential harms to these vulnerable youth.","container-title":"Journal of Sex &amp; Marital Therapy","DOI":"10.1080/0092623X.2022.2150346","ISSN":"0092-623X","issue":"0","note":"publisher: Routledge\n_eprint: https://doi.org/10.1080/0092623X.2022.2150346\nPMID: 36593754","page":"1-27","source":"Taylor and Francis+NEJM","title":"The Myth of “Reliable Research” in Pediatric Gender Medicine: A critical evaluation of the Dutch Studies—and research that has followed","title-short":"The Myth of “Reliable Research” in Pediatric Gender Medicine","URL":"https://doi.org/10.1080/0092623X.2022.2150346","volume":"0","author":[{"family":"Abbruzzese","given":"E."},{"family":"Levine","given":"Stephen B."},{"family":"Mason","given":"Julia W."}],"accessed":{"date-parts":[["2023",1,4]]},"issued":{"date-parts":[["2023",1,2]]}}},{"id":2816,"uris":["http://zotero.org/groups/2320358/items/6EKUZ9NU"],"itemData":{"id":2816,"type":"article-journal","abstract":"Abstract\n\nIt has been a quarter of a century since Dutch clinicians proposed puberty suppression as an intervention for “juvenile transsexuals,” which became the international standard for treating gender dysphoria. This paper reviews the history of this intervention and scrutinizes the evidence adduced to support it. The intervention was justified by claims that it was reversible and that it was a tool for diagnosis, but these claims are increasingly implausible. The main evidence for the Dutch protocol came from a longitudinal study of 70 adolescents who had been subjected to puberty suppression followed by cross-sex hormones and surgery. Their outcomes shortly after surgery appeared positive, except for the one patient who died, but these findings rested on a small number of observations and incommensurable measures of gender dysphoria. A replication study conducted in Britain found no improvement. While some effects of puberty suppression have been carefully studied, such as on bone density, others have been ignored, like on sexual functioning.","container-title":"Sex and maital therapy","title":"Full article: The Dutch Protocol for Juvenile Transsexuals: Origins and Evidence","URL":"https://www.tandfonline.com/doi/full/10.1080/0092623X.2022.2121238?cookieSet=1","author":[{"family":"Biggs","given":"Michael"}],"accessed":{"date-parts":[["2023",1,5]]},"issued":{"date-parts":[["2022",9,19]]}}},{"id":8354,"uris":["http://zotero.org/groups/4882545/items/FVRZF2Y4"],"itemData":{"id":8354,"type":"article-journal","abstract":"In less than a decade, the western world has witnessed an unprecedented rise in the numbers of children and adolescents seeking gender transition. Despite the precedent of years of gender-affirmative care, the social, medical and surgical interventions are still based on very low-quality evidence. The many risks of these interventions, including medicalizing a temporary adolescent identity, have come into a clearer focus through an awareness of detransitioners. The risks of gender-affirmative care are ethically managed through a properly conducted informed consent process. Its elements—deliberate sharing of the hoped-for benefits, known risks and long-term outcomes, and alternative treatments—must be delivered in a manner that promotes comprehension. The process is limited by: erroneous professional assumptions; poor quality of the initial evaluations; and inaccurate and incomplete information shared with patients and their parents. We discuss data on suicide and present the limitations of the Dutch studies that have been the basis for interventions. Beliefs about gender-affirmative care need to be separated from the established facts. A proper informed consent process can both prepare parents and patients for the difficult choices that they must make and can ease professionals’ ethical tensions. Even when properly accomplished, however, some clinical circumstances exist that remain quite uncertain.","container-title":"Journal of Sex &amp; Marital Therapy","DOI":"10.1080/0092623X.2022.2046221","ISSN":"0092-623X","issue":"0","note":"publisher: Routledge\n_eprint: https://doi.org/10.1080/0092623X.2022.2046221\nPMID: 35300570","page":"1-22","source":"Taylor and Francis+NEJM","title":"Reconsidering Informed Consent for Trans-Identified Children, Adolescents, and Young Adults","URL":"https://doi.org/10.1080/0092623X.2022.2046221","volume":"0","author":[{"family":"Levine","given":"Stephen B."},{"family":"Abbruzzese","given":"E."},{"family":"Mason","given":"Julia W."}],"accessed":{"date-parts":[["2022",7,25]]},"issued":{"date-parts":[["2022",3,17]]}}}],"schema":"https://github.com/citation-style-language/schema/raw/master/csl-citation.json"} </w:instrText>
      </w:r>
      <w:r w:rsidR="000506A2">
        <w:fldChar w:fldCharType="separate"/>
      </w:r>
      <w:r w:rsidR="000506A2" w:rsidRPr="00A95FD5">
        <w:rPr>
          <w:rFonts w:cs="Calibri"/>
        </w:rPr>
        <w:t>(Abbruzzese et al., 2023; Biggs, 2022; Levine et al., 2022)</w:t>
      </w:r>
      <w:r w:rsidR="000506A2">
        <w:fldChar w:fldCharType="end"/>
      </w:r>
      <w:r w:rsidR="00F8649F">
        <w:t>.</w:t>
      </w:r>
      <w:r w:rsidR="00927C31">
        <w:t xml:space="preserve"> </w:t>
      </w:r>
      <w:r w:rsidR="00F83569">
        <w:t>Moreover t</w:t>
      </w:r>
      <w:r w:rsidR="004E6B73">
        <w:t xml:space="preserve">he young people they </w:t>
      </w:r>
      <w:r w:rsidR="00280074">
        <w:t xml:space="preserve">reported </w:t>
      </w:r>
      <w:r w:rsidR="00DD7CA2">
        <w:t xml:space="preserve">on do not appear to be </w:t>
      </w:r>
      <w:r w:rsidR="004E6B73">
        <w:t>flourishing compared with their peers</w:t>
      </w:r>
      <w:r w:rsidR="00F8649F">
        <w:t xml:space="preserve"> </w:t>
      </w:r>
      <w:r w:rsidR="0038129C">
        <w:fldChar w:fldCharType="begin"/>
      </w:r>
      <w:r w:rsidR="00955E97">
        <w:instrText xml:space="preserve"> ADDIN ZOTERO_ITEM CSL_CITATION {"citationID":"C6i97485","properties":{"formattedCitation":"(Cohn, 2023)","plainCitation":"(Cohn, 2023)","noteIndex":0},"citationItems":[{"id":11752,"uris":["http://zotero.org/groups/4882545/items/G9KZNRQC"],"itemData":{"id":11752,"type":"article-journal","abstract":"Letter in response to Gender dysphoria in young people is rising—and so is professional disagreement from a SEGM member. Study outcomes quoted for psychological benefit not holding up with time","container-title":"BMJ","language":"en","source":"www.bmj.com","title":"Rapid response to Gender dysphoria in young people is rising—and so is professional disagreement","URL":"https://www.bmj.com/content/380/bmj.p382/rr-4","author":[{"family":"Cohn","given":"J."}],"accessed":{"date-parts":[["2023",7,19]]},"issued":{"date-parts":[["2023",7,14]]}}}],"schema":"https://github.com/citation-style-language/schema/raw/master/csl-citation.json"} </w:instrText>
      </w:r>
      <w:r w:rsidR="0038129C">
        <w:fldChar w:fldCharType="separate"/>
      </w:r>
      <w:r w:rsidR="0038129C" w:rsidRPr="00A95FD5">
        <w:rPr>
          <w:rFonts w:cs="Calibri"/>
        </w:rPr>
        <w:t>(Cohn, 2023)</w:t>
      </w:r>
      <w:r w:rsidR="0038129C">
        <w:fldChar w:fldCharType="end"/>
      </w:r>
      <w:r w:rsidR="00F8649F">
        <w:t>.</w:t>
      </w:r>
      <w:r w:rsidR="00B547AB">
        <w:t xml:space="preserve"> </w:t>
      </w:r>
    </w:p>
    <w:p w14:paraId="7F37B72D" w14:textId="0B720C01" w:rsidR="004D7B58" w:rsidRDefault="00A66A5B" w:rsidP="00885484">
      <w:r>
        <w:t xml:space="preserve">Dr </w:t>
      </w:r>
      <w:r w:rsidR="004D7B58">
        <w:t xml:space="preserve">Diane Ehrensaft, </w:t>
      </w:r>
      <w:r w:rsidR="007C6B75">
        <w:t xml:space="preserve">cited in the Guideline and </w:t>
      </w:r>
      <w:r w:rsidR="00A26D77">
        <w:t xml:space="preserve">mentioned above, is </w:t>
      </w:r>
      <w:r w:rsidR="004D7B58">
        <w:t xml:space="preserve">a psychologist and early advocate of affirmative approaches, who claims that how babies interact with hair adornments (girls) and onesies (boys) </w:t>
      </w:r>
      <w:r w:rsidR="003356AF">
        <w:t xml:space="preserve">can </w:t>
      </w:r>
      <w:r w:rsidR="004D7B58">
        <w:t xml:space="preserve">indicate cross sex identification. </w:t>
      </w:r>
      <w:r w:rsidR="004D7B58">
        <w:fldChar w:fldCharType="begin"/>
      </w:r>
      <w:r w:rsidR="004D7B58">
        <w:instrText xml:space="preserve"> ADDIN ZOTERO_ITEM CSL_CITATION {"citationID":"vd30oMk9","properties":{"formattedCitation":"(4thwavenow, 2016; Ehrensaft, 2019)","plainCitation":"(4thwavenow, 2016; Ehrensaft, 2019)","noteIndex":0},"citationItems":[{"id":11790,"uris":["http://zotero.org/groups/4882545/items/6DTE2GM6"],"itemData":{"id":11790,"type":"post-weblog","abstract":"Note: 4thWaveNow frequently features posts (like this one) that focus, often unflatteringly, on the activists and providers involved in pediatric transition. These people aren’t ogres who intend to…","container-title":"4thWaveNow","language":"en-US","title":"Gender-affirmative therapist: Baby who hates barrettes = trans boy; questioning sterilization of 11-year olds same as denying cancer treatment","title-short":"Gender-affirmative therapist","URL":"https://4thwavenow.com/2016/09/29/gender-affirmative-therapist-baby-who-hates-barrettes-trans-boy-questioning-sterilization-of-11-year-olds-same-as-denying-cancer-treatment/","author":[{"literal":"4thwavenow"}],"accessed":{"date-parts":[["2023",7,23]]},"issued":{"date-parts":[["2016",9,29]]}}},{"id":8004,"uris":["http://zotero.org/groups/4882545/items/5EPALUQN"],"itemData":{"id":8004,"type":"motion_picture","abstract":"Diane Ehrensaft is one of the top pediatric \"gender therapists\" in the United States.   SHe says \"expert is saying that if a child of 1 - 2, a pre verbal baby has clips in its hair and it pulls them out...it's a sign the child is transgender. Other clips outlining Gender Hybrids, Proto-Gay, Oreos. All of these can potentially be (converted to) Trans. Gender exists on a spectrum are added here.\n\nhttps://youtu.be/pc3p4DcnMGQ","language":"en","license":"Creative Commons","title":"Barrettes: Diane Ehrensaft","title-short":"Barrettes","URL":"https://vimeo.com/185149379","director":[{"family":"Ehrensaft","given":"Diane"}],"accessed":{"date-parts":[["2019",9,1]]},"issued":{"date-parts":[["2019"]]}}}],"schema":"https://github.com/citation-style-language/schema/raw/master/csl-citation.json"} </w:instrText>
      </w:r>
      <w:r w:rsidR="004D7B58">
        <w:fldChar w:fldCharType="separate"/>
      </w:r>
      <w:r w:rsidR="004D7B58" w:rsidRPr="006376B6">
        <w:rPr>
          <w:rFonts w:cs="Calibri"/>
        </w:rPr>
        <w:t>(4thwavenow, 2016; Ehrensaft, 2019)</w:t>
      </w:r>
      <w:r w:rsidR="004D7B58">
        <w:fldChar w:fldCharType="end"/>
      </w:r>
      <w:r w:rsidR="004D7B58">
        <w:t xml:space="preserve"> </w:t>
      </w:r>
      <w:r w:rsidR="00150E2C">
        <w:t>Also in c</w:t>
      </w:r>
      <w:r w:rsidR="004D7B58">
        <w:t>ontra</w:t>
      </w:r>
      <w:r w:rsidR="00150E2C">
        <w:t>st</w:t>
      </w:r>
      <w:r w:rsidR="004D7B58">
        <w:t xml:space="preserve"> to the available evidence, she claims that it is possible to determine which children will remain cross-sex identified.</w:t>
      </w:r>
      <w:r w:rsidR="004D7B58">
        <w:fldChar w:fldCharType="begin"/>
      </w:r>
      <w:r w:rsidR="004D7B58">
        <w:instrText xml:space="preserve"> ADDIN ZOTERO_ITEM CSL_CITATION {"citationID":"cKqbuwu0","properties":{"formattedCitation":"(Ehrensaft, 2016)","plainCitation":"(Ehrensaft, 2016)","noteIndex":0},"citationItems":[{"id":7733,"uris":["http://zotero.org/groups/4882545/items/VAR8PLWG"],"itemData":{"id":7733,"type":"motion_picture","abstract":"A workshop presented by Diane Ehrensaft, PhD at Gender Infinity 2016.","dimensions":"PT00H54M10S","license":"xxx","note":"Directors: _:n870","source":"Vimeo","title":"Apples, Oranges, and Fruit Salad: Sorting Out Transgender, Gender Diverse, and Beyond Gender Children and Youth","title-short":"Apples, Oranges, and Fruit Salad","URL":"https://vimeo.com/186051984","director":[{"family":"Ehrensaft","given":"Diane"}],"accessed":{"date-parts":[["2022",7,25]]},"issued":{"date-parts":[["2016",10,8]]}}}],"schema":"https://github.com/citation-style-language/schema/raw/master/csl-citation.json"} </w:instrText>
      </w:r>
      <w:r w:rsidR="004D7B58">
        <w:fldChar w:fldCharType="separate"/>
      </w:r>
      <w:r w:rsidR="004D7B58" w:rsidRPr="006376B6">
        <w:rPr>
          <w:rFonts w:cs="Calibri"/>
        </w:rPr>
        <w:t>(Ehrensaft, 2016)</w:t>
      </w:r>
      <w:r w:rsidR="004D7B58">
        <w:fldChar w:fldCharType="end"/>
      </w:r>
      <w:r w:rsidR="004D7B58">
        <w:t xml:space="preserve"> Whilst the PATHA Guideline does not make these claims it is concerning that </w:t>
      </w:r>
      <w:r w:rsidR="00BE3F24">
        <w:t>the Guideline cites ‘</w:t>
      </w:r>
      <w:r w:rsidR="00D90B54">
        <w:t>experts</w:t>
      </w:r>
      <w:r w:rsidR="00BE3F24">
        <w:t>’</w:t>
      </w:r>
      <w:r w:rsidR="00D90B54">
        <w:t xml:space="preserve"> who use </w:t>
      </w:r>
      <w:r w:rsidR="00DE0087">
        <w:t xml:space="preserve">what appears to be </w:t>
      </w:r>
      <w:r w:rsidR="003356AF">
        <w:t xml:space="preserve">unevidenced </w:t>
      </w:r>
      <w:r w:rsidR="00DE0087">
        <w:t>thi</w:t>
      </w:r>
      <w:r w:rsidR="004D7B58">
        <w:t>nking in support of treatment</w:t>
      </w:r>
      <w:r w:rsidR="00B30D8D">
        <w:t>.</w:t>
      </w:r>
      <w:r w:rsidR="003E4474">
        <w:t xml:space="preserve">  </w:t>
      </w:r>
    </w:p>
    <w:p w14:paraId="1CF828F5" w14:textId="77777777" w:rsidR="00B10171" w:rsidRDefault="00B10171" w:rsidP="00885484">
      <w:pPr>
        <w:pStyle w:val="Heading4"/>
      </w:pPr>
      <w:r>
        <w:t xml:space="preserve">Deploy a structured method of </w:t>
      </w:r>
      <w:r w:rsidRPr="00577E81">
        <w:t>formulating recommendations</w:t>
      </w:r>
    </w:p>
    <w:p w14:paraId="0AE4FEE5" w14:textId="77777777" w:rsidR="00D15BFD" w:rsidRDefault="00D15BFD" w:rsidP="00885484">
      <w:r>
        <w:t>The CPG tools suggest that there should be a synthesis of the body of evidence, and a quality assessment for each clinical recommendation. But there is no evidence that any such process has taken place.</w:t>
      </w:r>
    </w:p>
    <w:p w14:paraId="08BAE4CF" w14:textId="1ADCDCA2" w:rsidR="002571B0" w:rsidRDefault="00DB7975" w:rsidP="00885484">
      <w:r w:rsidRPr="00794CD7">
        <w:t xml:space="preserve">There is nothing to demonstrate that </w:t>
      </w:r>
      <w:r w:rsidR="00B10171" w:rsidRPr="00794CD7">
        <w:t>the recommendations</w:t>
      </w:r>
      <w:r w:rsidR="0052374E" w:rsidRPr="00794CD7">
        <w:t xml:space="preserve"> </w:t>
      </w:r>
      <w:r w:rsidR="00B10171" w:rsidRPr="00794CD7">
        <w:t>have arisen as the result of a formal process of weighing and assessing the available evidence</w:t>
      </w:r>
      <w:r w:rsidR="004568B0" w:rsidRPr="00794CD7">
        <w:t>,</w:t>
      </w:r>
      <w:r w:rsidR="00B10171">
        <w:t xml:space="preserve"> such as </w:t>
      </w:r>
      <w:r w:rsidR="00B10171" w:rsidRPr="00673ED0">
        <w:t>the use of GRADE (Grading of Recommendations, Assessment, Development, and Evaluations)</w:t>
      </w:r>
      <w:r w:rsidR="00B10171">
        <w:t xml:space="preserve"> </w:t>
      </w:r>
      <w:r w:rsidR="00B10171">
        <w:fldChar w:fldCharType="begin"/>
      </w:r>
      <w:r w:rsidR="00B10171">
        <w:instrText xml:space="preserve"> ADDIN ZOTERO_ITEM CSL_CITATION {"citationID":"6j3IRY0E","properties":{"formattedCitation":"(Siemieniuk &amp; Guyatt, 2016)","plainCitation":"(Siemieniuk &amp; Guyatt, 2016)","noteIndex":0},"citationItems":[{"id":11654,"uris":["http://zotero.org/groups/4882545/items/SVRDLGG2"],"itemData":{"id":11654,"type":"report","abstract":"GRADE (Grading of Recommendations, Assessment, Development and Evaluations) is a transparent framework for developing and presenting summaries of evidence and provides a systematic approach for making clinical practice recommendations.","language":"en-GB","number":"BMJ Best Practice","publisher":"British Medical Journal","title":"What is GRADE?","title-short":"What is GRADE?","URL":"https://bestpractice.bmj.com/info/toolkit/learn-ebm/what-is-grade/","author":[{"family":"Siemieniuk","given":"Reed"},{"family":"Guyatt","given":"Gordon"}],"accessed":{"date-parts":[["2023",7,9]]},"issued":{"date-parts":[["2016"]]}}}],"schema":"https://github.com/citation-style-language/schema/raw/master/csl-citation.json"} </w:instrText>
      </w:r>
      <w:r w:rsidR="00B10171">
        <w:fldChar w:fldCharType="separate"/>
      </w:r>
      <w:r w:rsidR="00B10171" w:rsidRPr="007F4CF8">
        <w:rPr>
          <w:rFonts w:cs="Calibri"/>
        </w:rPr>
        <w:t>(Siemieniuk &amp; Guyatt, 2016)</w:t>
      </w:r>
      <w:r w:rsidR="00B10171">
        <w:fldChar w:fldCharType="end"/>
      </w:r>
      <w:r w:rsidR="004568B0">
        <w:t>,</w:t>
      </w:r>
      <w:r w:rsidR="00B10171">
        <w:t xml:space="preserve"> or any similar approach</w:t>
      </w:r>
      <w:r w:rsidR="00017ABB">
        <w:t xml:space="preserve"> as advised by all of the CPG </w:t>
      </w:r>
      <w:r w:rsidR="00EC1771">
        <w:t>advice</w:t>
      </w:r>
      <w:r w:rsidR="00B10171">
        <w:t>. GRADE is a technique that can be used with any of the medical guideline development approaches. It is a transparent and systematic framework for developing and presenting summaries of evidence</w:t>
      </w:r>
      <w:r w:rsidR="0052374E">
        <w:t xml:space="preserve"> </w:t>
      </w:r>
      <w:r w:rsidR="00B10171">
        <w:t xml:space="preserve">that guide the development of clinical practice. </w:t>
      </w:r>
      <w:r w:rsidR="008120C2">
        <w:t xml:space="preserve"> </w:t>
      </w:r>
    </w:p>
    <w:p w14:paraId="77480DFA" w14:textId="542E2128" w:rsidR="00B10171" w:rsidRDefault="008120C2" w:rsidP="00885484">
      <w:r>
        <w:t>The PATHA Guideline contains</w:t>
      </w:r>
      <w:r w:rsidRPr="006D58B4">
        <w:t xml:space="preserve"> </w:t>
      </w:r>
      <w:r>
        <w:t xml:space="preserve">5 sets of </w:t>
      </w:r>
      <w:r w:rsidRPr="006D58B4">
        <w:t>recommendations,</w:t>
      </w:r>
      <w:r>
        <w:t xml:space="preserve"> many sets of practice points and includes treatment advice in the general narrative </w:t>
      </w:r>
      <w:r w:rsidRPr="006D58B4">
        <w:t>but</w:t>
      </w:r>
      <w:r>
        <w:t>,</w:t>
      </w:r>
      <w:r w:rsidRPr="006D58B4">
        <w:t xml:space="preserve"> </w:t>
      </w:r>
      <w:r>
        <w:t xml:space="preserve">since it appears that they are not the result of </w:t>
      </w:r>
      <w:r w:rsidR="0016533D">
        <w:t>a</w:t>
      </w:r>
      <w:r>
        <w:t xml:space="preserve"> transparent and systematic approach, what do they represent?</w:t>
      </w:r>
      <w:r w:rsidRPr="006D58B4">
        <w:t xml:space="preserve"> </w:t>
      </w:r>
      <w:r w:rsidR="00BA261A">
        <w:t>Often the</w:t>
      </w:r>
      <w:r w:rsidR="00755683">
        <w:t xml:space="preserve"> </w:t>
      </w:r>
      <w:r w:rsidR="00D161C3">
        <w:t xml:space="preserve">reason for </w:t>
      </w:r>
      <w:r w:rsidR="00755683">
        <w:t xml:space="preserve">recommendations </w:t>
      </w:r>
      <w:r w:rsidR="0016533D">
        <w:t xml:space="preserve">is </w:t>
      </w:r>
      <w:r w:rsidR="00755683">
        <w:t xml:space="preserve">not </w:t>
      </w:r>
      <w:r w:rsidR="00985A7B">
        <w:t xml:space="preserve">explained </w:t>
      </w:r>
      <w:r w:rsidR="00755683">
        <w:t>in the prior narrative</w:t>
      </w:r>
      <w:r w:rsidR="008A5D1B">
        <w:t xml:space="preserve">. </w:t>
      </w:r>
      <w:r>
        <w:t xml:space="preserve">While there may be stronger evidence in </w:t>
      </w:r>
      <w:r w:rsidRPr="006D58B4">
        <w:t>WPATH SOC 7</w:t>
      </w:r>
      <w:r>
        <w:t>,</w:t>
      </w:r>
      <w:r w:rsidRPr="006D58B4">
        <w:t xml:space="preserve"> </w:t>
      </w:r>
      <w:r>
        <w:t xml:space="preserve">there is no </w:t>
      </w:r>
      <w:r w:rsidRPr="006D58B4">
        <w:t>cross-referenc</w:t>
      </w:r>
      <w:r>
        <w:t>ing to it</w:t>
      </w:r>
      <w:r w:rsidRPr="006D58B4">
        <w:t>.</w:t>
      </w:r>
      <w:r>
        <w:t xml:space="preserve"> </w:t>
      </w:r>
    </w:p>
    <w:p w14:paraId="21031C57" w14:textId="5D036C7B" w:rsidR="00087092" w:rsidRPr="00577E81" w:rsidRDefault="00087092" w:rsidP="00885484">
      <w:pPr>
        <w:pStyle w:val="Heading4"/>
      </w:pPr>
      <w:r>
        <w:t>Describe the</w:t>
      </w:r>
      <w:r w:rsidR="0052374E">
        <w:t xml:space="preserve"> </w:t>
      </w:r>
      <w:r w:rsidRPr="00577E81">
        <w:t xml:space="preserve">procedure for updating </w:t>
      </w:r>
      <w:r>
        <w:t>the PATHA Guideline</w:t>
      </w:r>
    </w:p>
    <w:p w14:paraId="5F2B9CE6" w14:textId="55BD518C" w:rsidR="00FF492B" w:rsidRPr="00794CD7" w:rsidRDefault="00FF492B" w:rsidP="00885484">
      <w:r w:rsidRPr="00794CD7">
        <w:t xml:space="preserve">There is no reference to a process for updating </w:t>
      </w:r>
      <w:r w:rsidR="005F6A91" w:rsidRPr="00794CD7">
        <w:t>the PATHA Guideline</w:t>
      </w:r>
      <w:r w:rsidR="004568B0" w:rsidRPr="00794CD7">
        <w:t>.</w:t>
      </w:r>
    </w:p>
    <w:p w14:paraId="4938E56A" w14:textId="77777777" w:rsidR="00087092" w:rsidRDefault="00087092" w:rsidP="00885484">
      <w:pPr>
        <w:pStyle w:val="Heading4"/>
      </w:pPr>
      <w:r>
        <w:t xml:space="preserve">Carry out a pre-publication independent review </w:t>
      </w:r>
    </w:p>
    <w:p w14:paraId="0FBD68AF" w14:textId="77777777" w:rsidR="00FF492B" w:rsidRPr="00794CD7" w:rsidRDefault="00FF492B" w:rsidP="00885484">
      <w:r w:rsidRPr="00794CD7">
        <w:t xml:space="preserve">There is no evidence in the document that there was an independent review of the PATHA guideline prior to publication. </w:t>
      </w:r>
    </w:p>
    <w:p w14:paraId="76BD776A" w14:textId="77777777" w:rsidR="00087092" w:rsidRDefault="00087092" w:rsidP="00885484">
      <w:pPr>
        <w:pStyle w:val="Heading4"/>
      </w:pPr>
      <w:bookmarkStart w:id="30" w:name="_Toc139973151"/>
      <w:bookmarkStart w:id="31" w:name="_Toc140574839"/>
      <w:r>
        <w:t>Devise a method for recording and addressing conflicts of interest</w:t>
      </w:r>
    </w:p>
    <w:bookmarkEnd w:id="30"/>
    <w:bookmarkEnd w:id="31"/>
    <w:p w14:paraId="36CCD9C6" w14:textId="5A500BE8" w:rsidR="00245061" w:rsidRDefault="00A10FC5" w:rsidP="00885484">
      <w:pPr>
        <w:rPr>
          <w:lang w:val="mi-NZ"/>
        </w:rPr>
      </w:pPr>
      <w:r w:rsidRPr="00794CD7">
        <w:t xml:space="preserve">There is no evidence that conflicts of interest were collected, </w:t>
      </w:r>
      <w:r w:rsidR="00C124F8" w:rsidRPr="00794CD7">
        <w:t>assessed,</w:t>
      </w:r>
      <w:r w:rsidRPr="00794CD7">
        <w:t xml:space="preserve"> or managed. </w:t>
      </w:r>
      <w:r w:rsidR="00297613">
        <w:t xml:space="preserve">Neither is it clear how the </w:t>
      </w:r>
      <w:r w:rsidR="007F50F4">
        <w:t xml:space="preserve">Guideline was funded and what </w:t>
      </w:r>
      <w:r w:rsidR="005D4DF0">
        <w:t xml:space="preserve">influence </w:t>
      </w:r>
      <w:r w:rsidR="007F68FD">
        <w:t xml:space="preserve">such funding has had on the </w:t>
      </w:r>
      <w:r w:rsidR="00297613" w:rsidRPr="0043177D">
        <w:t>content of the guideline.</w:t>
      </w:r>
      <w:r w:rsidR="00297613">
        <w:rPr>
          <w:b/>
          <w:bCs/>
        </w:rPr>
        <w:t xml:space="preserve"> </w:t>
      </w:r>
      <w:r w:rsidRPr="00794CD7">
        <w:rPr>
          <w:lang w:val="mi-NZ"/>
        </w:rPr>
        <w:t>The authors</w:t>
      </w:r>
      <w:r>
        <w:rPr>
          <w:lang w:val="mi-NZ"/>
        </w:rPr>
        <w:t xml:space="preserve"> are apparently all members of PATHA</w:t>
      </w:r>
      <w:r w:rsidR="007F6927">
        <w:rPr>
          <w:lang w:val="mi-NZ"/>
        </w:rPr>
        <w:t>.</w:t>
      </w:r>
      <w:r>
        <w:rPr>
          <w:lang w:val="mi-NZ"/>
        </w:rPr>
        <w:t xml:space="preserve"> The majority are in </w:t>
      </w:r>
      <w:r w:rsidR="00AA59CF">
        <w:rPr>
          <w:lang w:val="mi-NZ"/>
        </w:rPr>
        <w:t xml:space="preserve">career </w:t>
      </w:r>
      <w:r>
        <w:rPr>
          <w:lang w:val="mi-NZ"/>
        </w:rPr>
        <w:t xml:space="preserve">roles where they implement the </w:t>
      </w:r>
      <w:r>
        <w:rPr>
          <w:lang w:val="mi-NZ"/>
        </w:rPr>
        <w:lastRenderedPageBreak/>
        <w:t xml:space="preserve">very gender medicine that the </w:t>
      </w:r>
      <w:r w:rsidR="00282963">
        <w:rPr>
          <w:lang w:val="mi-NZ"/>
        </w:rPr>
        <w:t xml:space="preserve">guideline advises </w:t>
      </w:r>
      <w:r>
        <w:rPr>
          <w:lang w:val="mi-NZ"/>
        </w:rPr>
        <w:t xml:space="preserve">and they </w:t>
      </w:r>
      <w:r w:rsidR="00282963">
        <w:rPr>
          <w:lang w:val="mi-NZ"/>
        </w:rPr>
        <w:t xml:space="preserve">would </w:t>
      </w:r>
      <w:r>
        <w:rPr>
          <w:lang w:val="mi-NZ"/>
        </w:rPr>
        <w:t xml:space="preserve">appear to have a vested interest in the growth of </w:t>
      </w:r>
      <w:r w:rsidR="005F1D25">
        <w:rPr>
          <w:lang w:val="mi-NZ"/>
        </w:rPr>
        <w:t>affirmative</w:t>
      </w:r>
      <w:r>
        <w:rPr>
          <w:lang w:val="mi-NZ"/>
        </w:rPr>
        <w:t xml:space="preserve"> gender medicine in the hospital system, </w:t>
      </w:r>
      <w:r w:rsidR="00B443C4">
        <w:rPr>
          <w:lang w:val="mi-NZ"/>
        </w:rPr>
        <w:t>youth and student health services</w:t>
      </w:r>
      <w:r w:rsidR="005F1D25">
        <w:rPr>
          <w:lang w:val="mi-NZ"/>
        </w:rPr>
        <w:t xml:space="preserve">, in </w:t>
      </w:r>
      <w:r>
        <w:rPr>
          <w:lang w:val="mi-NZ"/>
        </w:rPr>
        <w:t>primary care and in the private sector medicine</w:t>
      </w:r>
      <w:r w:rsidR="00B443C4">
        <w:rPr>
          <w:lang w:val="mi-NZ"/>
        </w:rPr>
        <w:t xml:space="preserve"> </w:t>
      </w:r>
      <w:r w:rsidR="005F1D25">
        <w:rPr>
          <w:lang w:val="mi-NZ"/>
        </w:rPr>
        <w:t>sectors that employs most of them.</w:t>
      </w:r>
      <w:r w:rsidR="00B443C4">
        <w:rPr>
          <w:lang w:val="mi-NZ"/>
        </w:rPr>
        <w:t xml:space="preserve"> </w:t>
      </w:r>
      <w:r w:rsidR="007F6927">
        <w:rPr>
          <w:lang w:val="mi-NZ"/>
        </w:rPr>
        <w:t>The opportunities for groupthink or self-interest should be obvious</w:t>
      </w:r>
      <w:r w:rsidR="00CD23AF">
        <w:rPr>
          <w:lang w:val="mi-NZ"/>
        </w:rPr>
        <w:t xml:space="preserve"> and should surely have been managed transparently.</w:t>
      </w:r>
    </w:p>
    <w:p w14:paraId="7E7F0A47" w14:textId="71AAAA9A" w:rsidR="002963F2" w:rsidRDefault="002963F2" w:rsidP="00885484">
      <w:pPr>
        <w:pStyle w:val="Heading2"/>
        <w:rPr>
          <w:bCs/>
          <w:iCs/>
        </w:rPr>
      </w:pPr>
      <w:bookmarkStart w:id="32" w:name="_Toc143668010"/>
      <w:bookmarkStart w:id="33" w:name="_Toc145238123"/>
      <w:bookmarkStart w:id="34" w:name="_Toc156044303"/>
      <w:r>
        <w:t>Differences between PATHA and SOC 7</w:t>
      </w:r>
      <w:bookmarkEnd w:id="32"/>
      <w:bookmarkEnd w:id="33"/>
      <w:bookmarkEnd w:id="34"/>
      <w:r>
        <w:t xml:space="preserve"> </w:t>
      </w:r>
    </w:p>
    <w:p w14:paraId="1E5233F7" w14:textId="6DAEA3AD" w:rsidR="0039205A" w:rsidRDefault="00D92BF8" w:rsidP="00885484">
      <w:r>
        <w:t>The following elements of the PATHA Guideline differ markedly from WPATH SOC 7 and yet</w:t>
      </w:r>
      <w:r w:rsidR="004568B0">
        <w:t>,</w:t>
      </w:r>
      <w:r>
        <w:t xml:space="preserve"> in almost all cases</w:t>
      </w:r>
      <w:r w:rsidR="004568B0">
        <w:t>,</w:t>
      </w:r>
      <w:r>
        <w:t xml:space="preserve"> little new evidence is </w:t>
      </w:r>
      <w:r w:rsidR="00FE33B8">
        <w:t>presented</w:t>
      </w:r>
      <w:r>
        <w:t xml:space="preserve"> to explain the changes</w:t>
      </w:r>
      <w:r w:rsidR="0092084F">
        <w:t xml:space="preserve">. </w:t>
      </w:r>
      <w:r w:rsidR="00DD5624">
        <w:t xml:space="preserve">The </w:t>
      </w:r>
      <w:r w:rsidR="00DF304B">
        <w:t>research</w:t>
      </w:r>
      <w:r w:rsidR="00DD5624">
        <w:t xml:space="preserve"> </w:t>
      </w:r>
      <w:r w:rsidR="00CA405B">
        <w:t xml:space="preserve">process </w:t>
      </w:r>
      <w:r w:rsidR="007F2EEB">
        <w:t>for this section</w:t>
      </w:r>
      <w:r w:rsidR="00CA405B">
        <w:t xml:space="preserve"> </w:t>
      </w:r>
      <w:r w:rsidR="001F1606">
        <w:t>involved</w:t>
      </w:r>
      <w:r w:rsidR="00F07F0D">
        <w:t xml:space="preserve"> </w:t>
      </w:r>
      <w:r w:rsidR="001F1606">
        <w:t xml:space="preserve">identifying </w:t>
      </w:r>
      <w:r w:rsidR="0085178B">
        <w:t>recommendations or advice</w:t>
      </w:r>
      <w:r w:rsidR="00464FB4">
        <w:t xml:space="preserve"> </w:t>
      </w:r>
      <w:r w:rsidR="00F07F0D">
        <w:t xml:space="preserve">in the </w:t>
      </w:r>
      <w:r w:rsidR="00CB4F48">
        <w:t>Guideline</w:t>
      </w:r>
      <w:r w:rsidR="00F07F0D">
        <w:t xml:space="preserve"> </w:t>
      </w:r>
      <w:r w:rsidR="00464FB4">
        <w:t xml:space="preserve">that </w:t>
      </w:r>
      <w:r w:rsidR="00F07F0D">
        <w:t xml:space="preserve">appeared </w:t>
      </w:r>
      <w:r w:rsidR="00904577">
        <w:t xml:space="preserve">extreme, surprising or contrary </w:t>
      </w:r>
      <w:r w:rsidR="00CB4F48">
        <w:t>to usual medical practice</w:t>
      </w:r>
      <w:r w:rsidR="00464FB4">
        <w:t xml:space="preserve"> and which </w:t>
      </w:r>
      <w:r w:rsidR="00D95833">
        <w:t>would</w:t>
      </w:r>
      <w:r w:rsidR="00464FB4">
        <w:t xml:space="preserve"> be material in influencing treatment outcomes</w:t>
      </w:r>
      <w:r w:rsidR="00BF1599">
        <w:t xml:space="preserve">. Then the WPATH </w:t>
      </w:r>
      <w:r w:rsidR="000A6609">
        <w:t>SOC 7 was searched for the corresponding information.</w:t>
      </w:r>
      <w:r w:rsidR="00E62E3B">
        <w:t xml:space="preserve"> </w:t>
      </w:r>
      <w:r w:rsidR="004B130F">
        <w:t xml:space="preserve">In each case </w:t>
      </w:r>
      <w:r w:rsidR="002153E1">
        <w:t xml:space="preserve">selected </w:t>
      </w:r>
      <w:r w:rsidR="004B130F">
        <w:t>the SOC 7 advice differed</w:t>
      </w:r>
      <w:r w:rsidR="00F107D2">
        <w:t xml:space="preserve">. </w:t>
      </w:r>
      <w:r w:rsidR="00CB4F48">
        <w:t>Some</w:t>
      </w:r>
      <w:r w:rsidR="00C72FB7">
        <w:t xml:space="preserve"> </w:t>
      </w:r>
      <w:r w:rsidR="00110E84">
        <w:t xml:space="preserve">of the </w:t>
      </w:r>
      <w:r w:rsidR="00656C9D">
        <w:t xml:space="preserve">elements that were </w:t>
      </w:r>
      <w:r w:rsidR="00110E84">
        <w:t>identified</w:t>
      </w:r>
      <w:r w:rsidR="00C72FB7">
        <w:t xml:space="preserve"> are supported by </w:t>
      </w:r>
      <w:r w:rsidR="00E75677">
        <w:t xml:space="preserve">some </w:t>
      </w:r>
      <w:r w:rsidR="00C72FB7">
        <w:t xml:space="preserve">evidence but as </w:t>
      </w:r>
      <w:r w:rsidR="00407C0E">
        <w:t xml:space="preserve">it appears </w:t>
      </w:r>
      <w:r w:rsidR="00C72FB7">
        <w:t>there was no literature review</w:t>
      </w:r>
      <w:r w:rsidR="00050B3A">
        <w:t>,</w:t>
      </w:r>
      <w:r w:rsidR="00C72FB7">
        <w:t xml:space="preserve"> the referenced articles</w:t>
      </w:r>
      <w:r w:rsidR="00071E1C">
        <w:t xml:space="preserve"> have been selected to</w:t>
      </w:r>
      <w:r w:rsidR="00C72FB7">
        <w:t xml:space="preserve"> </w:t>
      </w:r>
      <w:r w:rsidR="00784AB4">
        <w:t>support the treatment stance</w:t>
      </w:r>
      <w:r w:rsidR="00900D86">
        <w:t xml:space="preserve"> </w:t>
      </w:r>
      <w:r w:rsidR="00C72FB7">
        <w:t xml:space="preserve">rather than </w:t>
      </w:r>
      <w:r w:rsidR="00784AB4">
        <w:t xml:space="preserve">being </w:t>
      </w:r>
      <w:r w:rsidR="003500B2">
        <w:t xml:space="preserve">a </w:t>
      </w:r>
      <w:r w:rsidR="00C72FB7">
        <w:t>balanced view of the evidence</w:t>
      </w:r>
      <w:r w:rsidR="007362CE">
        <w:t xml:space="preserve"> for it</w:t>
      </w:r>
      <w:r w:rsidR="00C72FB7">
        <w:t xml:space="preserve">. </w:t>
      </w:r>
      <w:r w:rsidR="00A0645D">
        <w:t>The recommendations on m</w:t>
      </w:r>
      <w:r w:rsidR="00C72FB7">
        <w:t>ental health, puberty suppression, gender affirming care as well as neuro-diversity are in this category.  Other elements</w:t>
      </w:r>
      <w:r w:rsidR="00202AC7">
        <w:t xml:space="preserve">, </w:t>
      </w:r>
      <w:r w:rsidR="00DD4ECE">
        <w:t xml:space="preserve">such as </w:t>
      </w:r>
      <w:r w:rsidR="00A91326">
        <w:t xml:space="preserve">the </w:t>
      </w:r>
      <w:r w:rsidR="00202AC7">
        <w:t>advice on</w:t>
      </w:r>
      <w:r w:rsidR="00A91326">
        <w:t xml:space="preserve"> </w:t>
      </w:r>
      <w:r w:rsidR="00C72FB7">
        <w:t>social transition, including the use</w:t>
      </w:r>
      <w:r w:rsidR="0092084F">
        <w:t xml:space="preserve"> of</w:t>
      </w:r>
      <w:r w:rsidR="00C72FB7">
        <w:t xml:space="preserve"> potentially damaging binders, </w:t>
      </w:r>
      <w:r w:rsidR="00FF0CF1">
        <w:t>and</w:t>
      </w:r>
      <w:r w:rsidR="00A91326">
        <w:t xml:space="preserve"> </w:t>
      </w:r>
      <w:r w:rsidR="00C72FB7">
        <w:t xml:space="preserve">the approach to informed consent </w:t>
      </w:r>
      <w:r w:rsidR="00802BE9">
        <w:t xml:space="preserve">did not </w:t>
      </w:r>
      <w:r w:rsidR="00C72FB7">
        <w:t>have</w:t>
      </w:r>
      <w:r w:rsidR="00A91326">
        <w:t xml:space="preserve"> any </w:t>
      </w:r>
      <w:r w:rsidR="00631B4A">
        <w:t xml:space="preserve">citations </w:t>
      </w:r>
      <w:r w:rsidR="00802BE9">
        <w:t xml:space="preserve">in </w:t>
      </w:r>
      <w:r w:rsidR="00C72FB7">
        <w:t>support</w:t>
      </w:r>
      <w:r w:rsidR="00802BE9">
        <w:t xml:space="preserve">. </w:t>
      </w:r>
      <w:r w:rsidR="00C431FA">
        <w:t xml:space="preserve"> </w:t>
      </w:r>
      <w:r w:rsidR="00071E1C">
        <w:t xml:space="preserve">Each difference identified between WPATH and PATHA </w:t>
      </w:r>
      <w:r w:rsidR="00C431FA">
        <w:t>either lower</w:t>
      </w:r>
      <w:r w:rsidR="0074270D">
        <w:t>s</w:t>
      </w:r>
      <w:r w:rsidR="00C431FA">
        <w:t xml:space="preserve"> the bar to treatment</w:t>
      </w:r>
      <w:r w:rsidR="004568B0">
        <w:t>,</w:t>
      </w:r>
      <w:r w:rsidR="00DB57C1">
        <w:t xml:space="preserve"> and/or </w:t>
      </w:r>
      <w:r w:rsidR="00AF25D2">
        <w:t>see</w:t>
      </w:r>
      <w:r w:rsidR="0074270D">
        <w:t>s</w:t>
      </w:r>
      <w:r w:rsidR="00AF25D2">
        <w:t xml:space="preserve"> as eligible for treatment</w:t>
      </w:r>
      <w:r w:rsidR="009C5506">
        <w:t>,</w:t>
      </w:r>
      <w:r w:rsidR="00AF25D2">
        <w:t xml:space="preserve"> people who would not have been treated using WPATH </w:t>
      </w:r>
      <w:r w:rsidR="00E66C3F">
        <w:t>SOC 7</w:t>
      </w:r>
      <w:r w:rsidR="00DB57C1">
        <w:t xml:space="preserve">. </w:t>
      </w:r>
      <w:r w:rsidR="00734E19">
        <w:t xml:space="preserve"> The section below </w:t>
      </w:r>
      <w:r w:rsidR="008B0F62">
        <w:t>provides specific detail on how this ha</w:t>
      </w:r>
      <w:r w:rsidR="00071E1C">
        <w:t>s</w:t>
      </w:r>
      <w:r w:rsidR="008B0F62">
        <w:t xml:space="preserve"> occurred.  In many cases the narrative  descriptions </w:t>
      </w:r>
      <w:r w:rsidR="00076738">
        <w:t xml:space="preserve">below </w:t>
      </w:r>
      <w:r w:rsidR="008B0F62">
        <w:t xml:space="preserve">are supported by </w:t>
      </w:r>
      <w:r w:rsidR="00631B4A">
        <w:t xml:space="preserve">footnotes </w:t>
      </w:r>
      <w:r w:rsidR="00076738">
        <w:t xml:space="preserve">which </w:t>
      </w:r>
      <w:r w:rsidR="00631B4A">
        <w:t>link to extracts from WPATH’s SOC 7 and the PATHA Guideline</w:t>
      </w:r>
      <w:r w:rsidR="002458A1">
        <w:t xml:space="preserve"> to enable</w:t>
      </w:r>
      <w:r w:rsidR="00952CC8">
        <w:t xml:space="preserve"> a</w:t>
      </w:r>
      <w:r w:rsidR="002458A1">
        <w:t xml:space="preserve"> comparison</w:t>
      </w:r>
      <w:r w:rsidR="00952CC8">
        <w:t xml:space="preserve"> to be made</w:t>
      </w:r>
      <w:r w:rsidR="00943B0A">
        <w:t>.</w:t>
      </w:r>
    </w:p>
    <w:p w14:paraId="167D3DDC" w14:textId="39F0F7AF" w:rsidR="00202D51" w:rsidRDefault="00202D51" w:rsidP="00885484">
      <w:pPr>
        <w:pStyle w:val="Heading4"/>
      </w:pPr>
      <w:bookmarkStart w:id="35" w:name="_Toc140574845"/>
      <w:r>
        <w:t>Affirmation</w:t>
      </w:r>
    </w:p>
    <w:p w14:paraId="69004492" w14:textId="31E6F3AC" w:rsidR="00071E1C" w:rsidRDefault="00202D51" w:rsidP="00071E1C">
      <w:r>
        <w:t xml:space="preserve">The approach to ‘affirmative’ treatment raised a red flag </w:t>
      </w:r>
      <w:r w:rsidR="002D4DC3">
        <w:t>and the issue is addressed more fully below</w:t>
      </w:r>
      <w:r w:rsidR="006C0D60">
        <w:t xml:space="preserve"> with the information on diagnosis</w:t>
      </w:r>
      <w:r w:rsidR="002D4DC3">
        <w:t xml:space="preserve">. </w:t>
      </w:r>
      <w:r>
        <w:t>It is mentioned throughout both documents rather than as a discrete topic. Essentially WPATH affirms within the context of a diagnosis; with a recognition that other outcomes are possible</w:t>
      </w:r>
      <w:r w:rsidR="006748E0">
        <w:t>, that many resolve their gender confusion</w:t>
      </w:r>
      <w:r>
        <w:t xml:space="preserve"> and aware that full information about gender medicine will dissuade some patients from proceeding.</w:t>
      </w:r>
      <w:r w:rsidR="00F15789">
        <w:t xml:space="preserve"> The PATHA Guideline does not acknowledge any </w:t>
      </w:r>
      <w:r w:rsidR="007A677F">
        <w:t>such limitations.</w:t>
      </w:r>
    </w:p>
    <w:p w14:paraId="45F87F6E" w14:textId="1027FC21" w:rsidR="0051519C" w:rsidRDefault="0051519C" w:rsidP="00071E1C">
      <w:pPr>
        <w:pStyle w:val="Heading4"/>
      </w:pPr>
      <w:r>
        <w:t>Mental Health</w:t>
      </w:r>
      <w:bookmarkEnd w:id="35"/>
    </w:p>
    <w:p w14:paraId="2287AFF4" w14:textId="12695A49" w:rsidR="00F16CF2" w:rsidRPr="00F16CF2" w:rsidRDefault="00F16CF2" w:rsidP="00D24ED2">
      <w:r>
        <w:t xml:space="preserve">WPATH requires mental health conditions to be reasonably well controlled.  </w:t>
      </w:r>
      <w:r w:rsidR="00FF0A61">
        <w:t xml:space="preserve">In contrast </w:t>
      </w:r>
      <w:r w:rsidR="002458A1">
        <w:t xml:space="preserve">the </w:t>
      </w:r>
      <w:r>
        <w:t>PATHA</w:t>
      </w:r>
      <w:r w:rsidR="002458A1">
        <w:t xml:space="preserve"> Guideline</w:t>
      </w:r>
      <w:r>
        <w:t xml:space="preserve"> says that mental health issues and </w:t>
      </w:r>
      <w:r w:rsidR="00F01F83">
        <w:t xml:space="preserve">even an inability to verbalise opposite sex identification </w:t>
      </w:r>
      <w:r w:rsidR="00130335">
        <w:t xml:space="preserve">are not barriers to </w:t>
      </w:r>
      <w:r w:rsidR="00071E1C">
        <w:t xml:space="preserve">combining mental health and gender transition </w:t>
      </w:r>
      <w:r w:rsidR="00130335">
        <w:t>treatment</w:t>
      </w:r>
      <w:r w:rsidR="00F01F83">
        <w:t>.</w:t>
      </w:r>
      <w:r w:rsidR="00170645" w:rsidRPr="00523034">
        <w:rPr>
          <w:rStyle w:val="FootnoteReference"/>
        </w:rPr>
        <w:footnoteReference w:id="3"/>
      </w:r>
      <w:r>
        <w:t xml:space="preserve"> </w:t>
      </w:r>
    </w:p>
    <w:p w14:paraId="748A2A8B" w14:textId="318AAA8D" w:rsidR="00A80030" w:rsidRDefault="00436842" w:rsidP="00885484">
      <w:pPr>
        <w:pStyle w:val="Heading4"/>
      </w:pPr>
      <w:bookmarkStart w:id="36" w:name="_Toc140574846"/>
      <w:r>
        <w:lastRenderedPageBreak/>
        <w:t>Cause</w:t>
      </w:r>
      <w:r w:rsidR="00D72814">
        <w:t>s</w:t>
      </w:r>
      <w:r>
        <w:t xml:space="preserve"> of associated mental health conditions</w:t>
      </w:r>
      <w:bookmarkEnd w:id="36"/>
    </w:p>
    <w:p w14:paraId="50484509" w14:textId="5B51B7D0" w:rsidR="00C32485" w:rsidRPr="0033362A" w:rsidRDefault="00905C4E" w:rsidP="00885484">
      <w:r>
        <w:t xml:space="preserve">The PATHA </w:t>
      </w:r>
      <w:r w:rsidRPr="0033362A">
        <w:t>section on Minority Stress</w:t>
      </w:r>
      <w:r>
        <w:t xml:space="preserve"> </w:t>
      </w:r>
      <w:r w:rsidR="00B01DFE">
        <w:t>suggests that</w:t>
      </w:r>
      <w:r w:rsidRPr="0033362A">
        <w:t xml:space="preserve"> stigma and oppression</w:t>
      </w:r>
      <w:r>
        <w:t xml:space="preserve"> </w:t>
      </w:r>
      <w:r w:rsidR="0055299A">
        <w:t xml:space="preserve">are </w:t>
      </w:r>
      <w:r w:rsidRPr="007A72E2">
        <w:t xml:space="preserve">the </w:t>
      </w:r>
      <w:r>
        <w:t xml:space="preserve">sole </w:t>
      </w:r>
      <w:r w:rsidRPr="0033362A">
        <w:t>cause of the mental health problems faced by transgender people</w:t>
      </w:r>
      <w:r>
        <w:t>.</w:t>
      </w:r>
      <w:r w:rsidR="002C09BE" w:rsidRPr="002C09BE">
        <w:t xml:space="preserve"> </w:t>
      </w:r>
      <w:r w:rsidR="00F26BC5">
        <w:t>(</w:t>
      </w:r>
      <w:r w:rsidR="007A1F9B">
        <w:t>This is contradicted elsewhere</w:t>
      </w:r>
      <w:r w:rsidR="00763E15">
        <w:t xml:space="preserve"> in </w:t>
      </w:r>
      <w:r w:rsidR="003E61B9">
        <w:t>t</w:t>
      </w:r>
      <w:r w:rsidR="004E4F59">
        <w:t>h</w:t>
      </w:r>
      <w:r w:rsidR="002C09BE">
        <w:t>e PATHA Guideline</w:t>
      </w:r>
      <w:r w:rsidR="004E4F59">
        <w:t xml:space="preserve"> </w:t>
      </w:r>
      <w:r w:rsidR="00763E15">
        <w:t xml:space="preserve">which finds that </w:t>
      </w:r>
      <w:r w:rsidR="00CD0FC0">
        <w:t xml:space="preserve">body dysphoria </w:t>
      </w:r>
      <w:r w:rsidR="006E71CA">
        <w:t>and mental health issues with other causes and the stress of transition may be in play</w:t>
      </w:r>
      <w:r w:rsidR="00C441D5">
        <w:t>).</w:t>
      </w:r>
      <w:r w:rsidR="006E71CA">
        <w:t xml:space="preserve"> </w:t>
      </w:r>
      <w:r w:rsidR="00C441D5">
        <w:t>PATHA</w:t>
      </w:r>
      <w:r w:rsidR="004E4F59">
        <w:t xml:space="preserve"> also</w:t>
      </w:r>
      <w:r w:rsidR="002C09BE">
        <w:t xml:space="preserve"> argues that WPATH SOC 7 advises mental health treatment can continue alongside gender affirmation.</w:t>
      </w:r>
      <w:r w:rsidR="005A43B6">
        <w:t xml:space="preserve"> </w:t>
      </w:r>
      <w:r w:rsidR="004E4F59">
        <w:t>However the</w:t>
      </w:r>
      <w:r w:rsidR="005A43B6">
        <w:t xml:space="preserve"> </w:t>
      </w:r>
      <w:r w:rsidR="000F7EF7">
        <w:t xml:space="preserve"> wording of the </w:t>
      </w:r>
      <w:r w:rsidR="00F12A21">
        <w:t xml:space="preserve">WPATH </w:t>
      </w:r>
      <w:r w:rsidR="000F7EF7">
        <w:t xml:space="preserve">SOC 7 makes clear that mental health problems may arise from other causes </w:t>
      </w:r>
      <w:r w:rsidR="005A3184">
        <w:t>than stigma</w:t>
      </w:r>
      <w:r w:rsidR="003F2CBC">
        <w:t>,</w:t>
      </w:r>
      <w:r w:rsidR="005A3184">
        <w:t xml:space="preserve"> </w:t>
      </w:r>
      <w:r w:rsidR="000F7EF7">
        <w:t xml:space="preserve">and that failing to treat </w:t>
      </w:r>
      <w:r w:rsidR="00237C64">
        <w:t>them</w:t>
      </w:r>
      <w:r w:rsidR="000F7EF7">
        <w:t xml:space="preserve"> </w:t>
      </w:r>
      <w:r w:rsidR="00947A83">
        <w:t xml:space="preserve">can have </w:t>
      </w:r>
      <w:r w:rsidR="000F7EF7">
        <w:t xml:space="preserve">important </w:t>
      </w:r>
      <w:r w:rsidR="006E0C7C">
        <w:t>negative</w:t>
      </w:r>
      <w:r w:rsidR="000F7EF7">
        <w:t xml:space="preserve"> consequences.</w:t>
      </w:r>
      <w:r w:rsidR="0066443E">
        <w:t xml:space="preserve"> </w:t>
      </w:r>
      <w:r w:rsidR="00071E1C">
        <w:t xml:space="preserve">With the benefit of hindsight  more recent </w:t>
      </w:r>
      <w:r w:rsidR="0066443E">
        <w:t xml:space="preserve">research shows </w:t>
      </w:r>
      <w:r w:rsidR="00071E1C">
        <w:t xml:space="preserve">just </w:t>
      </w:r>
      <w:r w:rsidR="0066443E">
        <w:t xml:space="preserve">how </w:t>
      </w:r>
      <w:r w:rsidR="00001D24">
        <w:t xml:space="preserve">significant adverse </w:t>
      </w:r>
      <w:r w:rsidR="00071E1C">
        <w:t xml:space="preserve">life </w:t>
      </w:r>
      <w:r w:rsidR="00001D24">
        <w:t>events</w:t>
      </w:r>
      <w:r w:rsidR="00115112">
        <w:t xml:space="preserve"> </w:t>
      </w:r>
      <w:r w:rsidR="00071E1C">
        <w:t xml:space="preserve">are </w:t>
      </w:r>
      <w:r w:rsidR="00115112">
        <w:t xml:space="preserve">in </w:t>
      </w:r>
      <w:r w:rsidR="00001D24">
        <w:t>the genesis of gender confusion.</w:t>
      </w:r>
      <w:r w:rsidR="00C32485">
        <w:t xml:space="preserve"> </w:t>
      </w:r>
      <w:r w:rsidR="00162BAB">
        <w:fldChar w:fldCharType="begin"/>
      </w:r>
      <w:r w:rsidR="00115112">
        <w:instrText xml:space="preserve"> ADDIN ZOTERO_ITEM CSL_CITATION {"citationID":"eMTR4yaD","properties":{"formattedCitation":"(Cass, 2022; Kozlowska et al., 2021)","plainCitation":"(Cass, 2022; Kozlowska et al., 2021)","noteIndex":0},"citationItems":[{"id":8467,"uris":["http://zotero.org/groups/4882545/items/7Q8MXT82"],"itemData":{"id":8467,"type":"report","language":"en","publisher":"The Cass Review","title":"Interim report – Cass Review","URL":"https://cass.independent-review.uk/publications/interim-report/","author":[{"family":"Cass","given":"Hilary"}],"accessed":{"date-parts":[["2022",6,22]]},"issued":{"date-parts":[["2022"]]}}},{"id":7759,"uris":["http://zotero.org/groups/4882545/items/RK9QKDBA"],"itemData":{"id":7759,"type":"article-journal","abstract":"The current study examines patterns of attachment/self-protective strategies and rates of unresolved loss/trauma in children and adolescents presenting to a multidisciplinary gender service. Fifty-seven children and adolescents (8.42–15.92 years; 24 birth-assigned males and 33 birth-assigned females) presenting with gender dysphoria participated in structured attachment interviews coded using dynamic-maturational model (DMM) discourse analysis. The children with gender dysphoria were compared to age- and sex-matched children from the community (non-clinical group) and a group of school-age children with mixed psychiatric disorders (mixed psychiatric group). Information about adverse childhood experiences (ACEs), mental health diagnoses, and global level of functioning was also collected. In contrast to children in the non-clinical group, who were classified primarily into the normative attachment patterns (A1-2, B1-5, and C1-2) and who had low rates of unresolved loss/trauma, children with gender dysphoria were mostly classified into the high-risk attachment patterns (A3-4, A5-6, C3-4, C5-6, and A/C) (χ2=52.66; p&amp;lt;.001) and had a high rate of unresolved loss/trauma (χ2=18.64; p&amp;lt;.001). Comorbid psychiatric diagnoses (n=50; 87.7%) and a history of self-harm, suicidal ideation, or symptoms of distress were also common. Global level of functioning was impaired (range 25-95/100; mean=54.88; SD=15.40; median=55.00). There were no differences between children with gender dysphoria and children with mixed psychiatric disorders on attachment patterns (χ2=2.43; p=.30) and rates of unresolved loss and trauma (χ2=0.70; p=.40). Post hoc analyses showed that lower SES, family constellation (a non-traditional family unit), ACEs—including maltreatment (physical abuse, sexual abuse, emotional abuse, neglect, and exposure to domestic violence)—increased the likelihood of the child being classified into a high risk attachment pattern. Akin to children with other forms of psychological distress, children with gender dysphoria present in the context of multiple interacting risk factors that include at-risk attachment, unresolved loss/trauma, family conflict and loss of family cohesion, and exposure to multiple ACEs.","container-title":"Frontiers in Psychology","DOI":"10.3389/fpsyg.2020.582688","ISSN":"1664-1078","journalAbbreviation":"Front. Psychol.","language":"English","license":"xxx","note":"publisher: Frontiers","source":"Frontiers","title":"Attachment Patterns in Children and Adolescents With Gender Dysphoria","URL":"https://www.frontiersin.org/articles/10.3389/fpsyg.2020.582688/full","volume":"11","author":[{"family":"Kozlowska","given":"Kasia"},{"family":"Chudleigh","given":"Catherine"},{"family":"McClure","given":"Georgia"},{"family":"Maguire","given":"Ann M."},{"family":"Ambler","given":"Geoffrey R."}],"accessed":{"date-parts":[["2021",2,18]]},"issued":{"date-parts":[["2021"]]}}}],"schema":"https://github.com/citation-style-language/schema/raw/master/csl-citation.json"} </w:instrText>
      </w:r>
      <w:r w:rsidR="00162BAB">
        <w:fldChar w:fldCharType="separate"/>
      </w:r>
      <w:r w:rsidR="00115112" w:rsidRPr="00115112">
        <w:rPr>
          <w:rFonts w:cs="Calibri"/>
        </w:rPr>
        <w:t>(Cass, 2022; Kozlowska et al., 2021)</w:t>
      </w:r>
      <w:r w:rsidR="00162BAB">
        <w:fldChar w:fldCharType="end"/>
      </w:r>
      <w:r w:rsidR="00170645" w:rsidRPr="00523034">
        <w:rPr>
          <w:rStyle w:val="FootnoteReference"/>
        </w:rPr>
        <w:footnoteReference w:id="4"/>
      </w:r>
    </w:p>
    <w:p w14:paraId="71274D23" w14:textId="50A6E1FC" w:rsidR="00A608FC" w:rsidRDefault="00E73030" w:rsidP="00885484">
      <w:pPr>
        <w:pStyle w:val="Heading4"/>
      </w:pPr>
      <w:bookmarkStart w:id="37" w:name="_Toc140574847"/>
      <w:r>
        <w:t>Ethical issues about proceeding to treatment</w:t>
      </w:r>
      <w:bookmarkEnd w:id="37"/>
    </w:p>
    <w:p w14:paraId="335AFB97" w14:textId="650CF975" w:rsidR="00D10116" w:rsidRDefault="00AA1A02" w:rsidP="00885484">
      <w:pPr>
        <w:rPr>
          <w:i/>
          <w:iCs/>
        </w:rPr>
      </w:pPr>
      <w:r w:rsidRPr="00AA1A02">
        <w:t xml:space="preserve">WPATH </w:t>
      </w:r>
      <w:r w:rsidR="003741B4">
        <w:t xml:space="preserve">SOC 7 </w:t>
      </w:r>
      <w:r w:rsidRPr="00AA1A02">
        <w:t>acknowledg</w:t>
      </w:r>
      <w:r w:rsidR="003741B4">
        <w:t>es</w:t>
      </w:r>
      <w:r w:rsidRPr="00AA1A02">
        <w:t xml:space="preserve"> that neither the decision to treat</w:t>
      </w:r>
      <w:r w:rsidR="004568B0">
        <w:t>,</w:t>
      </w:r>
      <w:r w:rsidRPr="00AA1A02">
        <w:t xml:space="preserve"> nor not to treat</w:t>
      </w:r>
      <w:r w:rsidR="004568B0">
        <w:t>,</w:t>
      </w:r>
      <w:r w:rsidRPr="00AA1A02">
        <w:t xml:space="preserve"> is neutral</w:t>
      </w:r>
      <w:r w:rsidR="003741B4">
        <w:t>.</w:t>
      </w:r>
      <w:r w:rsidRPr="00AA1A02">
        <w:t xml:space="preserve"> </w:t>
      </w:r>
      <w:r w:rsidR="00834176" w:rsidRPr="00AA1A02">
        <w:t>The PATHA approach is significantly more activist</w:t>
      </w:r>
      <w:r w:rsidR="001237ED" w:rsidRPr="00AA1A02">
        <w:t xml:space="preserve"> with PATHA </w:t>
      </w:r>
      <w:r w:rsidR="00575752" w:rsidRPr="00AA1A02">
        <w:t xml:space="preserve">only </w:t>
      </w:r>
      <w:r w:rsidR="005E55E5" w:rsidRPr="00AA1A02">
        <w:t>not</w:t>
      </w:r>
      <w:r w:rsidR="00AB4978">
        <w:t>ing</w:t>
      </w:r>
      <w:r w:rsidR="005E55E5" w:rsidRPr="00AA1A02">
        <w:t xml:space="preserve"> the potential harms of </w:t>
      </w:r>
      <w:r w:rsidR="00575752" w:rsidRPr="00AA1A02">
        <w:t>failing to</w:t>
      </w:r>
      <w:r w:rsidR="00A16CED" w:rsidRPr="00AA1A02">
        <w:t xml:space="preserve"> treat</w:t>
      </w:r>
      <w:r w:rsidR="00A42D6E">
        <w:t>.</w:t>
      </w:r>
      <w:r w:rsidR="0052374E">
        <w:rPr>
          <w:i/>
          <w:iCs/>
        </w:rPr>
        <w:t xml:space="preserve"> </w:t>
      </w:r>
      <w:r w:rsidR="00170645" w:rsidRPr="004A2C7E">
        <w:rPr>
          <w:rStyle w:val="FootnoteReference"/>
        </w:rPr>
        <w:footnoteReference w:id="5"/>
      </w:r>
    </w:p>
    <w:p w14:paraId="22D5FA2B" w14:textId="1717D748" w:rsidR="00A16CED" w:rsidRDefault="00A16CED" w:rsidP="00885484">
      <w:pPr>
        <w:pStyle w:val="Heading4"/>
      </w:pPr>
      <w:bookmarkStart w:id="38" w:name="_Toc140574848"/>
      <w:r>
        <w:lastRenderedPageBreak/>
        <w:t>Desistance</w:t>
      </w:r>
      <w:bookmarkEnd w:id="38"/>
      <w:r w:rsidR="00D927CA">
        <w:t xml:space="preserve"> because dysphoria resolves</w:t>
      </w:r>
    </w:p>
    <w:p w14:paraId="6649B92F" w14:textId="01133C9D" w:rsidR="00A16CED" w:rsidRPr="00A16CED" w:rsidRDefault="003741B4" w:rsidP="00885484">
      <w:r>
        <w:t xml:space="preserve">Evidence from WPATH and from the Manukau 2012 Guideline </w:t>
      </w:r>
      <w:r w:rsidR="00E133AA">
        <w:t xml:space="preserve">says </w:t>
      </w:r>
      <w:r>
        <w:t xml:space="preserve">that there is significant desistance </w:t>
      </w:r>
      <w:r w:rsidR="00025A8A">
        <w:t xml:space="preserve">or resolution </w:t>
      </w:r>
      <w:r>
        <w:t>at puberty from opposite sex identification</w:t>
      </w:r>
      <w:r w:rsidRPr="004D1C13">
        <w:rPr>
          <w:color w:val="000000"/>
        </w:rPr>
        <w:t xml:space="preserve"> </w:t>
      </w:r>
      <w:r>
        <w:rPr>
          <w:color w:val="000000"/>
        </w:rPr>
        <w:fldChar w:fldCharType="begin"/>
      </w:r>
      <w:r>
        <w:rPr>
          <w:color w:val="000000"/>
        </w:rPr>
        <w:instrText xml:space="preserve"> ADDIN ZOTERO_ITEM CSL_CITATION {"citationID":"n80rOVKj","properties":{"formattedCitation":"(Counties Manukau DHB, 2011)","plainCitation":"(Counties Manukau DHB, 2011)","noteIndex":0},"citationItems":[{"id":1826,"uris":["http://zotero.org/groups/2320358/items/42ZLUTWP"],"itemData":{"id":1826,"type":"article-journal","abstract":"Most of these children (about three quarters) will not be trans adults, but many will retain some sexual preference \nor gender issues.  Those that are most gender dysphoric as children seem to be most likely to persist as a trans \nperson in adult life.","language":"en","page":"55","source":"Zotero","title":"Gender Reassignment Health Services for Trans People within New Zealand","URL":"https://www.moh.govt.nz/notebook/nbbooks.nsf/0/255ADB3E32BC40EACC2578F5000AF05B/$file/gender-reassignment-health-services-for-trans-people-nz.pdf","author":[{"family":"Counties Manukau DHB","given":""}],"issued":{"date-parts":[["2011",3]]}}}],"schema":"https://github.com/citation-style-language/schema/raw/master/csl-citation.json"} </w:instrText>
      </w:r>
      <w:r>
        <w:rPr>
          <w:color w:val="000000"/>
        </w:rPr>
        <w:fldChar w:fldCharType="separate"/>
      </w:r>
      <w:r w:rsidRPr="00771876">
        <w:rPr>
          <w:rFonts w:cs="Calibri"/>
        </w:rPr>
        <w:t>(Counties Manukau DHB, 2011)</w:t>
      </w:r>
      <w:r>
        <w:rPr>
          <w:color w:val="000000"/>
        </w:rPr>
        <w:fldChar w:fldCharType="end"/>
      </w:r>
      <w:r w:rsidR="004568B0">
        <w:rPr>
          <w:color w:val="000000"/>
        </w:rPr>
        <w:t>.</w:t>
      </w:r>
      <w:r>
        <w:rPr>
          <w:color w:val="000000"/>
        </w:rPr>
        <w:t xml:space="preserve"> </w:t>
      </w:r>
      <w:r w:rsidR="00A16CED">
        <w:t xml:space="preserve">PATHA </w:t>
      </w:r>
      <w:r w:rsidR="001B7B66">
        <w:t xml:space="preserve">minimises </w:t>
      </w:r>
      <w:r w:rsidR="00A16CED">
        <w:t>th</w:t>
      </w:r>
      <w:r>
        <w:t>is</w:t>
      </w:r>
      <w:r w:rsidR="001B7B66">
        <w:t xml:space="preserve"> significant evidence.</w:t>
      </w:r>
      <w:r w:rsidR="00170645" w:rsidRPr="00523034">
        <w:rPr>
          <w:rStyle w:val="FootnoteReference"/>
        </w:rPr>
        <w:footnoteReference w:id="6"/>
      </w:r>
    </w:p>
    <w:p w14:paraId="7C19BF7D" w14:textId="6CDFED4E" w:rsidR="001128DE" w:rsidRDefault="001128DE" w:rsidP="00885484">
      <w:pPr>
        <w:pStyle w:val="Heading4"/>
      </w:pPr>
      <w:bookmarkStart w:id="39" w:name="_Toc140574849"/>
      <w:r>
        <w:t>Social transition</w:t>
      </w:r>
      <w:bookmarkEnd w:id="39"/>
    </w:p>
    <w:p w14:paraId="3B2E9F7F" w14:textId="60F2C17B" w:rsidR="006643D5" w:rsidRDefault="000D593A" w:rsidP="00F12530">
      <w:r>
        <w:t xml:space="preserve">WPATH acknowledges that </w:t>
      </w:r>
      <w:r w:rsidR="00E541D1">
        <w:t xml:space="preserve">social </w:t>
      </w:r>
      <w:r>
        <w:t xml:space="preserve">transition is </w:t>
      </w:r>
      <w:r w:rsidR="00A40C6C">
        <w:t>controversial,</w:t>
      </w:r>
      <w:r>
        <w:t xml:space="preserve"> </w:t>
      </w:r>
      <w:r w:rsidR="0058108B">
        <w:t>and that parents must ‘</w:t>
      </w:r>
      <w:r w:rsidR="0058108B" w:rsidRPr="00DE118C">
        <w:rPr>
          <w:i/>
        </w:rPr>
        <w:t>explicitly let the child know that there is a way back</w:t>
      </w:r>
      <w:r w:rsidR="0058108B">
        <w:t>’ from acting as if the other sex. T</w:t>
      </w:r>
      <w:r>
        <w:t>his concern is not reflected by PATHA</w:t>
      </w:r>
      <w:r w:rsidR="002A2F6A">
        <w:t xml:space="preserve"> Guideline</w:t>
      </w:r>
      <w:r w:rsidR="003D5F0D">
        <w:t xml:space="preserve"> </w:t>
      </w:r>
      <w:r w:rsidR="003D5F0D" w:rsidRPr="0033362A">
        <w:t>section on social transition include</w:t>
      </w:r>
      <w:r w:rsidR="00290E72">
        <w:t>s of children</w:t>
      </w:r>
      <w:r w:rsidR="00272C0C">
        <w:t xml:space="preserve"> and young people</w:t>
      </w:r>
      <w:r w:rsidR="006A6A9A">
        <w:t xml:space="preserve"> </w:t>
      </w:r>
      <w:r w:rsidR="006643D5">
        <w:t xml:space="preserve">despite the entirely anticipatable likelihood that such an approach would </w:t>
      </w:r>
      <w:r w:rsidR="00FD35F4">
        <w:t>solidify</w:t>
      </w:r>
      <w:r w:rsidR="006643D5">
        <w:t xml:space="preserve"> the transgender identity of children and young people who would otherwise have desisted.  Evid</w:t>
      </w:r>
      <w:r w:rsidR="00A318F1">
        <w:t>ence</w:t>
      </w:r>
      <w:r w:rsidR="006643D5">
        <w:t xml:space="preserve"> from after 2018 </w:t>
      </w:r>
      <w:r w:rsidR="00A318F1">
        <w:t xml:space="preserve">has shown </w:t>
      </w:r>
      <w:r w:rsidR="006643D5">
        <w:t xml:space="preserve">clearly that social transition </w:t>
      </w:r>
      <w:r w:rsidR="00A318F1">
        <w:t>correlates with</w:t>
      </w:r>
      <w:r w:rsidR="00D01A0B">
        <w:t xml:space="preserve"> </w:t>
      </w:r>
      <w:r w:rsidR="00F12530">
        <w:t xml:space="preserve">the </w:t>
      </w:r>
      <w:r w:rsidR="00D01A0B">
        <w:t xml:space="preserve">persistence of </w:t>
      </w:r>
      <w:r w:rsidR="00F12530">
        <w:t xml:space="preserve">a </w:t>
      </w:r>
      <w:r w:rsidR="00D01A0B">
        <w:t>transgender identity</w:t>
      </w:r>
      <w:r w:rsidR="00290E72">
        <w:t>.</w:t>
      </w:r>
      <w:r w:rsidR="00F12530">
        <w:fldChar w:fldCharType="begin"/>
      </w:r>
      <w:r w:rsidR="00F12530">
        <w:instrText xml:space="preserve"> ADDIN ZOTERO_ITEM CSL_CITATION {"citationID":"r8NjOQwy","properties":{"formattedCitation":"(Stats for Gender, 2022)","plainCitation":"(Stats for Gender, 2022)","noteIndex":0},"citationItems":[{"id":2217,"uris":["http://zotero.org/groups/2320358/items/K5NZI9JU"],"itemData":{"id":2217,"type":"webpage","abstract":"Gender at your fingertips.\nThe sources we use are selected for their reliability. We mostly use peer-reviewed papers; however, we occasionally refer to government-commissioned studies, authoritative bodies’ submissions to governmental commissions, published books, or doctoral theses. In a few  we provide references for the purpose of debunking unreliable data.","container-title":"Stats For Gender","language":"en","title":"Stats for Gender","URL":"http://www.statsforgender.org","author":[{"family":"Stats for Gender","given":""}],"accessed":{"date-parts":[["2022",2,15]]},"issued":{"date-parts":[["2022"]]}}}],"schema":"https://github.com/citation-style-language/schema/raw/master/csl-citation.json"} </w:instrText>
      </w:r>
      <w:r w:rsidR="00F12530">
        <w:fldChar w:fldCharType="separate"/>
      </w:r>
      <w:r w:rsidR="00F12530" w:rsidRPr="00F12530">
        <w:rPr>
          <w:rFonts w:cs="Calibri"/>
        </w:rPr>
        <w:t>(Stats for Gender, 2022)</w:t>
      </w:r>
      <w:r w:rsidR="00F12530">
        <w:fldChar w:fldCharType="end"/>
      </w:r>
      <w:r w:rsidR="00290E72">
        <w:t xml:space="preserve"> </w:t>
      </w:r>
      <w:r w:rsidR="006643D5">
        <w:t xml:space="preserve"> </w:t>
      </w:r>
    </w:p>
    <w:p w14:paraId="5CD69E77" w14:textId="298901AB" w:rsidR="00F6487C" w:rsidRPr="00A16CED" w:rsidRDefault="00063422" w:rsidP="00F12530">
      <w:r>
        <w:t xml:space="preserve">The </w:t>
      </w:r>
      <w:r w:rsidR="006643D5">
        <w:t xml:space="preserve">PATHA </w:t>
      </w:r>
      <w:r>
        <w:t xml:space="preserve">Guideline </w:t>
      </w:r>
      <w:r w:rsidR="006643D5">
        <w:t xml:space="preserve">also </w:t>
      </w:r>
      <w:r>
        <w:t>suggests that s</w:t>
      </w:r>
      <w:r w:rsidR="00083889">
        <w:t xml:space="preserve">chools are a safe place for children to transition. </w:t>
      </w:r>
      <w:r w:rsidR="00DE38C1">
        <w:t xml:space="preserve">In retrospect </w:t>
      </w:r>
      <w:r w:rsidR="00991D8D">
        <w:t xml:space="preserve">such suggestions have </w:t>
      </w:r>
      <w:r w:rsidR="00F21841">
        <w:t>set the scene for</w:t>
      </w:r>
      <w:r w:rsidR="007F7A1E">
        <w:t xml:space="preserve"> the highly controversial </w:t>
      </w:r>
      <w:r w:rsidR="00071E1C">
        <w:t xml:space="preserve">policy in schools that children are transitioned </w:t>
      </w:r>
      <w:r w:rsidR="008E7E52">
        <w:t>while families are left unaware</w:t>
      </w:r>
      <w:r w:rsidR="00D72A2F">
        <w:t>.</w:t>
      </w:r>
      <w:r w:rsidR="00AC1F75">
        <w:fldChar w:fldCharType="begin"/>
      </w:r>
      <w:r w:rsidR="00F65A47">
        <w:instrText xml:space="preserve"> ADDIN ZOTERO_ITEM CSL_CITATION {"citationID":"lQh8QS8u","properties":{"formattedCitation":"(Resist Gender Education, 2023)","plainCitation":"(Resist Gender Education, 2023)","noteIndex":0},"citationItems":[{"id":11937,"uris":["http://zotero.org/groups/2320358/items/STBUQVRK"],"itemData":{"id":11937,"type":"report","abstract":"undefined","language":"en","publisher":"Resist Gender Education","title":"Secret Transition at School","URL":"https://www.resistgendereducation.nz/information/secret-transition-at-school","author":[{"family":"Resist Gender Education","given":""}],"accessed":{"date-parts":[["2023",8,29]]},"issued":{"date-parts":[["2023"]]}}}],"schema":"https://github.com/citation-style-language/schema/raw/master/csl-citation.json"} </w:instrText>
      </w:r>
      <w:r w:rsidR="00AC1F75">
        <w:fldChar w:fldCharType="separate"/>
      </w:r>
      <w:r w:rsidR="00F65A47" w:rsidRPr="00F65A47">
        <w:rPr>
          <w:rFonts w:cs="Calibri"/>
        </w:rPr>
        <w:t>(Resist Gender Education, 2023)</w:t>
      </w:r>
      <w:r w:rsidR="00AC1F75">
        <w:fldChar w:fldCharType="end"/>
      </w:r>
      <w:r w:rsidR="003745FF">
        <w:t xml:space="preserve">  No evidence </w:t>
      </w:r>
      <w:r w:rsidR="00D72A2F">
        <w:t xml:space="preserve">at all </w:t>
      </w:r>
      <w:r w:rsidR="003745FF">
        <w:t>is cited for this change</w:t>
      </w:r>
      <w:r w:rsidR="001D5033">
        <w:t>.</w:t>
      </w:r>
      <w:r w:rsidR="00F6487C">
        <w:t xml:space="preserve"> </w:t>
      </w:r>
      <w:r w:rsidR="00547F3C">
        <w:t>Why, when</w:t>
      </w:r>
      <w:r w:rsidR="006643D5">
        <w:t xml:space="preserve"> </w:t>
      </w:r>
      <w:r w:rsidR="008E690A">
        <w:t xml:space="preserve">social transition </w:t>
      </w:r>
      <w:r w:rsidR="00547F3C">
        <w:t xml:space="preserve">is suggested to </w:t>
      </w:r>
      <w:r w:rsidR="006643D5">
        <w:t xml:space="preserve">happen </w:t>
      </w:r>
      <w:r w:rsidR="008E690A">
        <w:t>at school</w:t>
      </w:r>
      <w:r w:rsidR="006643D5">
        <w:t>,</w:t>
      </w:r>
      <w:r w:rsidR="00E46998">
        <w:t xml:space="preserve"> </w:t>
      </w:r>
      <w:r w:rsidR="00547F3C">
        <w:t xml:space="preserve">was </w:t>
      </w:r>
      <w:r w:rsidR="00E46998">
        <w:t>input from the wider family</w:t>
      </w:r>
      <w:r w:rsidR="00547F3C">
        <w:t xml:space="preserve"> disregarded by the PATHA Guideline, especially since </w:t>
      </w:r>
      <w:r w:rsidR="006643D5">
        <w:t>Te Whare Tapa Wh</w:t>
      </w:r>
      <w:r w:rsidR="006643D5">
        <w:rPr>
          <w:rFonts w:cs="Calibri"/>
        </w:rPr>
        <w:t>ā</w:t>
      </w:r>
      <w:r w:rsidR="006643D5">
        <w:t xml:space="preserve"> advice </w:t>
      </w:r>
      <w:r w:rsidR="006D5588">
        <w:t>suggests i</w:t>
      </w:r>
      <w:r w:rsidR="00547F3C">
        <w:t xml:space="preserve">t as a </w:t>
      </w:r>
      <w:r w:rsidR="006D5588">
        <w:t>necessary</w:t>
      </w:r>
      <w:r w:rsidR="00547F3C">
        <w:t xml:space="preserve"> foundation to health and WPATH requires parental support prior to treatment</w:t>
      </w:r>
      <w:r w:rsidR="00F65A47">
        <w:t>?</w:t>
      </w:r>
      <w:r w:rsidR="0001547D">
        <w:t xml:space="preserve"> Is it </w:t>
      </w:r>
      <w:r w:rsidR="004A2992">
        <w:t>a</w:t>
      </w:r>
      <w:r w:rsidR="0001547D">
        <w:t>ppropriate that the Guideline</w:t>
      </w:r>
      <w:r w:rsidR="009036B0">
        <w:t xml:space="preserve"> has </w:t>
      </w:r>
      <w:r w:rsidR="00754ABB">
        <w:t xml:space="preserve">effectively </w:t>
      </w:r>
      <w:r w:rsidR="009036B0">
        <w:t xml:space="preserve">encouraged </w:t>
      </w:r>
      <w:r w:rsidR="000A446A">
        <w:t xml:space="preserve">secret </w:t>
      </w:r>
      <w:r w:rsidR="009036B0">
        <w:t>school social transition whe</w:t>
      </w:r>
      <w:r w:rsidR="006643D5">
        <w:t>re</w:t>
      </w:r>
      <w:r w:rsidR="009036B0">
        <w:t xml:space="preserve"> teachers are </w:t>
      </w:r>
      <w:r w:rsidR="006E6975">
        <w:t xml:space="preserve">expected to endorse a feeling that may have </w:t>
      </w:r>
      <w:r w:rsidR="000A446A">
        <w:t xml:space="preserve">many </w:t>
      </w:r>
      <w:r w:rsidR="006E6975">
        <w:t>causative factors</w:t>
      </w:r>
      <w:r w:rsidR="009036B0">
        <w:t>?</w:t>
      </w:r>
      <w:r w:rsidR="00F46DC9">
        <w:t xml:space="preserve"> </w:t>
      </w:r>
      <w:r w:rsidR="00170645" w:rsidRPr="00523034">
        <w:rPr>
          <w:rStyle w:val="FootnoteReference"/>
        </w:rPr>
        <w:footnoteReference w:id="7"/>
      </w:r>
    </w:p>
    <w:p w14:paraId="6D62691A" w14:textId="5BA3FB50" w:rsidR="00D14747" w:rsidRDefault="009E1619" w:rsidP="00885484">
      <w:pPr>
        <w:pStyle w:val="Heading4"/>
      </w:pPr>
      <w:bookmarkStart w:id="40" w:name="_Toc140574850"/>
      <w:r>
        <w:lastRenderedPageBreak/>
        <w:t>Diag</w:t>
      </w:r>
      <w:bookmarkEnd w:id="40"/>
      <w:r w:rsidR="00D72A2F">
        <w:t>nosis</w:t>
      </w:r>
    </w:p>
    <w:p w14:paraId="0175F548" w14:textId="42F4FA2B" w:rsidR="000A1DC1" w:rsidRPr="000A1DC1" w:rsidRDefault="007C2159" w:rsidP="00AB7BE5">
      <w:r>
        <w:t xml:space="preserve">WPATH recognises that </w:t>
      </w:r>
      <w:r w:rsidR="00F54491">
        <w:t xml:space="preserve">a </w:t>
      </w:r>
      <w:r w:rsidR="00F54491" w:rsidRPr="00F54491">
        <w:t xml:space="preserve">diagnostic and psychiatric </w:t>
      </w:r>
      <w:r>
        <w:t xml:space="preserve">assessment may result in </w:t>
      </w:r>
      <w:r w:rsidR="00F57737">
        <w:t xml:space="preserve">either of the </w:t>
      </w:r>
      <w:r w:rsidR="00CF0FB6">
        <w:t>following</w:t>
      </w:r>
      <w:r w:rsidR="00F57737">
        <w:t xml:space="preserve">: </w:t>
      </w:r>
      <w:r>
        <w:t xml:space="preserve">a </w:t>
      </w:r>
      <w:r w:rsidR="00180D1D">
        <w:t xml:space="preserve">gender dysphoria </w:t>
      </w:r>
      <w:r>
        <w:t>diagnos</w:t>
      </w:r>
      <w:r w:rsidR="00D17851">
        <w:t>i</w:t>
      </w:r>
      <w:r>
        <w:t>s</w:t>
      </w:r>
      <w:r w:rsidR="005E5169">
        <w:t xml:space="preserve"> that facilitates access to healthcare</w:t>
      </w:r>
      <w:r w:rsidR="00F57737">
        <w:t>;</w:t>
      </w:r>
      <w:r>
        <w:t xml:space="preserve"> </w:t>
      </w:r>
      <w:r w:rsidR="005B21A9">
        <w:t>the presence of psychosis or</w:t>
      </w:r>
      <w:r w:rsidR="00291225">
        <w:t xml:space="preserve"> </w:t>
      </w:r>
      <w:r w:rsidR="005B21A9">
        <w:t>delusions</w:t>
      </w:r>
      <w:r w:rsidR="0019326C">
        <w:t>;</w:t>
      </w:r>
      <w:r>
        <w:t xml:space="preserve"> no diagnosis or the identification of other causal factors</w:t>
      </w:r>
      <w:r w:rsidR="004E0BD7">
        <w:t xml:space="preserve"> for gender confusion</w:t>
      </w:r>
      <w:r>
        <w:t xml:space="preserve">. </w:t>
      </w:r>
      <w:r w:rsidR="000361BF">
        <w:t xml:space="preserve"> Informed consent </w:t>
      </w:r>
      <w:r w:rsidR="005D2C28">
        <w:t>is</w:t>
      </w:r>
      <w:r w:rsidR="0052374E">
        <w:t xml:space="preserve"> </w:t>
      </w:r>
      <w:r w:rsidR="005D2C28">
        <w:t xml:space="preserve">discussed within the context of assessment and </w:t>
      </w:r>
      <w:r w:rsidR="00EE2C96">
        <w:t xml:space="preserve">information about the limitations of treatment. </w:t>
      </w:r>
      <w:r w:rsidR="0019326C">
        <w:t>Explaining the limitations of treatment is a diagnostic tool.</w:t>
      </w:r>
      <w:r w:rsidR="005161FD">
        <w:t xml:space="preserve"> </w:t>
      </w:r>
      <w:r w:rsidR="000A1DC1">
        <w:t xml:space="preserve">PATHA </w:t>
      </w:r>
      <w:r w:rsidR="009D6F82">
        <w:t xml:space="preserve">on the other hand </w:t>
      </w:r>
      <w:r w:rsidR="000A1DC1">
        <w:t>eschews diagnosis</w:t>
      </w:r>
      <w:r w:rsidR="006D78B7">
        <w:t xml:space="preserve"> </w:t>
      </w:r>
      <w:r w:rsidR="00A93222">
        <w:t>in favour of affirming the</w:t>
      </w:r>
      <w:r w:rsidR="006D64E1">
        <w:t xml:space="preserve"> </w:t>
      </w:r>
      <w:r w:rsidR="00610A80">
        <w:t>perspective</w:t>
      </w:r>
      <w:r w:rsidR="00345617">
        <w:t xml:space="preserve"> but provides no evidence</w:t>
      </w:r>
      <w:r w:rsidR="00D26726">
        <w:t xml:space="preserve"> for why the approach is proposed. The</w:t>
      </w:r>
      <w:r w:rsidR="00610A80">
        <w:t xml:space="preserve"> views </w:t>
      </w:r>
      <w:r w:rsidR="00A93222">
        <w:t xml:space="preserve">of the </w:t>
      </w:r>
      <w:r w:rsidR="00E44553">
        <w:t>patient</w:t>
      </w:r>
      <w:r w:rsidR="007D0F07">
        <w:t xml:space="preserve"> </w:t>
      </w:r>
      <w:r w:rsidR="00F22887">
        <w:t>that they</w:t>
      </w:r>
      <w:r w:rsidR="007D0F07">
        <w:t xml:space="preserve"> </w:t>
      </w:r>
      <w:r w:rsidR="00D26726">
        <w:t xml:space="preserve">are </w:t>
      </w:r>
      <w:r w:rsidR="00361DD7">
        <w:t>transgender</w:t>
      </w:r>
      <w:r w:rsidR="00291225">
        <w:t xml:space="preserve"> is </w:t>
      </w:r>
      <w:r w:rsidR="00D26726">
        <w:t xml:space="preserve">paramount </w:t>
      </w:r>
      <w:r>
        <w:t>and</w:t>
      </w:r>
      <w:r w:rsidR="007D0F07">
        <w:t xml:space="preserve"> </w:t>
      </w:r>
      <w:r w:rsidR="00610A80">
        <w:t xml:space="preserve">the term </w:t>
      </w:r>
      <w:r w:rsidR="000174C3">
        <w:t xml:space="preserve">diagnosis </w:t>
      </w:r>
      <w:r w:rsidR="006D78B7">
        <w:t>is not even used in relation to assessment of suitability for medical intervention</w:t>
      </w:r>
      <w:r w:rsidR="000A1DC1">
        <w:t>.</w:t>
      </w:r>
      <w:r w:rsidR="006D78B7">
        <w:t xml:space="preserve"> </w:t>
      </w:r>
      <w:r w:rsidR="005161FD">
        <w:t>Explanations that there are technical limits to treatment are not included in the Guideline</w:t>
      </w:r>
      <w:r w:rsidR="001A2E19">
        <w:t>. Instead medication and surgery are described</w:t>
      </w:r>
      <w:r w:rsidR="005161FD">
        <w:t xml:space="preserve"> </w:t>
      </w:r>
      <w:r w:rsidR="00926B65">
        <w:t>as elements of a patient driven gender ‘journey’.</w:t>
      </w:r>
      <w:r w:rsidR="00116256">
        <w:t xml:space="preserve"> </w:t>
      </w:r>
      <w:r w:rsidR="00562A62">
        <w:t>Moreover</w:t>
      </w:r>
      <w:r w:rsidR="0052374E">
        <w:t xml:space="preserve"> </w:t>
      </w:r>
      <w:r w:rsidR="009D6F82">
        <w:t>it presents informed consent as simply an aspect of self-d</w:t>
      </w:r>
      <w:r w:rsidR="00EE4B9E">
        <w:t>e</w:t>
      </w:r>
      <w:r w:rsidR="009D6F82">
        <w:t>termination</w:t>
      </w:r>
      <w:r w:rsidR="00E8527D">
        <w:t>,</w:t>
      </w:r>
      <w:r w:rsidR="009D6F82">
        <w:t xml:space="preserve"> even in under 16s</w:t>
      </w:r>
      <w:r w:rsidR="00785B5D">
        <w:t xml:space="preserve">. </w:t>
      </w:r>
      <w:r w:rsidR="00287725">
        <w:t>However, t</w:t>
      </w:r>
      <w:r w:rsidR="005865E7">
        <w:t>he process of inform</w:t>
      </w:r>
      <w:r w:rsidR="00155F98">
        <w:t>ed</w:t>
      </w:r>
      <w:r w:rsidR="005865E7">
        <w:t xml:space="preserve"> consent </w:t>
      </w:r>
      <w:r w:rsidR="00327DF8">
        <w:t>described in the PATHA Guideline</w:t>
      </w:r>
      <w:r w:rsidR="007A7582">
        <w:t xml:space="preserve"> </w:t>
      </w:r>
      <w:r w:rsidR="002D39B9">
        <w:t>is controlled by legislation</w:t>
      </w:r>
      <w:r w:rsidR="00E70149">
        <w:t>. S</w:t>
      </w:r>
      <w:r w:rsidR="007A7582">
        <w:t xml:space="preserve">pecial conditions </w:t>
      </w:r>
      <w:r w:rsidR="00E70149">
        <w:t>are</w:t>
      </w:r>
      <w:r w:rsidR="007A7582">
        <w:t xml:space="preserve"> </w:t>
      </w:r>
      <w:r w:rsidR="001C17CC">
        <w:t xml:space="preserve">required </w:t>
      </w:r>
      <w:r w:rsidR="00C119EA">
        <w:t>prior to the prescribing o</w:t>
      </w:r>
      <w:r w:rsidR="007A7582">
        <w:t>f</w:t>
      </w:r>
      <w:r w:rsidR="00C119EA">
        <w:t xml:space="preserve"> </w:t>
      </w:r>
      <w:r w:rsidR="006F111A">
        <w:t>unapproved medicines</w:t>
      </w:r>
      <w:r w:rsidR="00C5282D">
        <w:t xml:space="preserve"> </w:t>
      </w:r>
      <w:r w:rsidR="009B1683">
        <w:t xml:space="preserve">under </w:t>
      </w:r>
      <w:r w:rsidR="00B02E8A">
        <w:t>the Medical Council’s prescribing advice</w:t>
      </w:r>
      <w:r w:rsidR="0039617A">
        <w:t xml:space="preserve">. </w:t>
      </w:r>
      <w:r w:rsidR="00050CB3">
        <w:t xml:space="preserve">These include </w:t>
      </w:r>
      <w:r w:rsidR="00C5282D">
        <w:t xml:space="preserve"> puberty blockers and cross sex hormones</w:t>
      </w:r>
      <w:r w:rsidR="004A0760">
        <w:t xml:space="preserve"> </w:t>
      </w:r>
      <w:r w:rsidR="0075249B">
        <w:fldChar w:fldCharType="begin"/>
      </w:r>
      <w:r w:rsidR="00E73B3C">
        <w:instrText xml:space="preserve"> ADDIN ZOTERO_ITEM CSL_CITATION {"citationID":"OwQADEM9","properties":{"formattedCitation":"(Medsafe, 2020)","plainCitation":"(Medsafe, 2020)","noteIndex":0},"citationItems":[{"id":11796,"uris":["http://zotero.org/groups/4882545/items/5SBY2MRL"],"itemData":{"id":11796,"type":"report","title":"Unapproved Medicines","URL":"https://www.medsafe.govt.nz/profs/riss/unapp.asp","author":[{"family":"Medsafe","given":""}],"accessed":{"date-parts":[["2023",7,24]]},"issued":{"date-parts":[["2020"]]}}}],"schema":"https://github.com/citation-style-language/schema/raw/master/csl-citation.json"} </w:instrText>
      </w:r>
      <w:r w:rsidR="0075249B">
        <w:fldChar w:fldCharType="separate"/>
      </w:r>
      <w:r w:rsidR="00E73B3C" w:rsidRPr="00E73B3C">
        <w:rPr>
          <w:rFonts w:cs="Calibri"/>
        </w:rPr>
        <w:t>(Medsafe, 2020)</w:t>
      </w:r>
      <w:r w:rsidR="0075249B">
        <w:fldChar w:fldCharType="end"/>
      </w:r>
      <w:r w:rsidR="007E128B">
        <w:t xml:space="preserve"> </w:t>
      </w:r>
      <w:r w:rsidR="006129BB">
        <w:t xml:space="preserve">although this </w:t>
      </w:r>
      <w:r w:rsidR="00050CB3">
        <w:t xml:space="preserve">legal aspect </w:t>
      </w:r>
      <w:r w:rsidR="006129BB">
        <w:t xml:space="preserve"> is not mentioned by the Guideline.</w:t>
      </w:r>
      <w:r w:rsidR="00D432DA">
        <w:t xml:space="preserve"> There are rulings by the Health </w:t>
      </w:r>
      <w:r w:rsidR="0043549C">
        <w:t>&amp;</w:t>
      </w:r>
      <w:r w:rsidR="00D432DA">
        <w:t xml:space="preserve"> Disability Commissioner that relate speci</w:t>
      </w:r>
      <w:r w:rsidR="0030663C">
        <w:t>f</w:t>
      </w:r>
      <w:r w:rsidR="00D432DA">
        <w:t>i</w:t>
      </w:r>
      <w:r w:rsidR="0030663C">
        <w:t>c</w:t>
      </w:r>
      <w:r w:rsidR="00D432DA">
        <w:t>ally to the</w:t>
      </w:r>
      <w:r w:rsidR="0030663C">
        <w:t xml:space="preserve"> requirements for clinicians when prescribing unapproved medicines</w:t>
      </w:r>
      <w:r w:rsidR="009D7E05">
        <w:t xml:space="preserve"> that are also not mentioned</w:t>
      </w:r>
      <w:r w:rsidR="00D87AC2">
        <w:t>.</w:t>
      </w:r>
      <w:r w:rsidR="00126780" w:rsidRPr="00523034">
        <w:rPr>
          <w:rStyle w:val="FootnoteReference"/>
        </w:rPr>
        <w:footnoteReference w:id="8"/>
      </w:r>
      <w:r w:rsidR="00CC6108">
        <w:t xml:space="preserve"> </w:t>
      </w:r>
      <w:r w:rsidR="00F24B65">
        <w:fldChar w:fldCharType="begin"/>
      </w:r>
      <w:r w:rsidR="00F24B65">
        <w:instrText xml:space="preserve"> ADDIN ZOTERO_ITEM CSL_CITATION {"citationID":"QinTfoU9","properties":{"formattedCitation":"(Health and Disability Commission, 2012)","plainCitation":"(Health and Disability Commission, 2012)","noteIndex":0},"citationItems":[{"id":11935,"uris":["http://zotero.org/groups/2320358/items/Z8MW78Q2"],"itemData":{"id":11935,"type":"report","abstract":"dermal fillers","title":"A Report by the Health and Disability Commissioner (Case 10HDC00986)","URL":"https://www.hdc.org.nz/decisions/search-decisions/2012/10hdc00986/","author":[{"family":"Health and Disability Commission","given":""}],"accessed":{"date-parts":[["2023",8,29]]},"issued":{"date-parts":[["2012"]]}}}],"schema":"https://github.com/citation-style-language/schema/raw/master/csl-citation.json"} </w:instrText>
      </w:r>
      <w:r w:rsidR="00F24B65">
        <w:fldChar w:fldCharType="separate"/>
      </w:r>
      <w:r w:rsidR="00F24B65" w:rsidRPr="00F24B65">
        <w:rPr>
          <w:rFonts w:cs="Calibri"/>
        </w:rPr>
        <w:t>(Health and Disability Commission, 2012)</w:t>
      </w:r>
      <w:r w:rsidR="00F24B65">
        <w:fldChar w:fldCharType="end"/>
      </w:r>
      <w:r w:rsidR="005311F9">
        <w:t xml:space="preserve"> Neither is any evidence presented for the medical benefits</w:t>
      </w:r>
      <w:r w:rsidR="008E0D20">
        <w:t xml:space="preserve"> </w:t>
      </w:r>
      <w:r w:rsidR="005311F9">
        <w:t xml:space="preserve"> of providing affirmation</w:t>
      </w:r>
      <w:r w:rsidR="002553AA">
        <w:t xml:space="preserve"> rather than </w:t>
      </w:r>
      <w:r w:rsidR="005311F9">
        <w:t>diagno</w:t>
      </w:r>
      <w:r w:rsidR="002553AA">
        <w:t>sis</w:t>
      </w:r>
      <w:r w:rsidR="008E0D20">
        <w:t xml:space="preserve"> and </w:t>
      </w:r>
      <w:r w:rsidR="00291225">
        <w:t xml:space="preserve">there is </w:t>
      </w:r>
      <w:r w:rsidR="008E0D20">
        <w:t>nothing to explain why such an approach does not create a risk of overtreatment</w:t>
      </w:r>
      <w:r w:rsidR="002553AA">
        <w:t>.</w:t>
      </w:r>
      <w:r w:rsidR="005311F9">
        <w:t xml:space="preserve"> There is also no discussion about how clinicians meet the Medical Council’s prescribing guidance that requires that they only prescribe medicines or treatment when they have adequately assessed the patient’s condition.  Such a process would seem to go beyond mere affirmation of a gender journey and require an assessment of the causes of dysphoria or the belief of the patient that they are transgender.</w:t>
      </w:r>
      <w:r w:rsidR="005311F9">
        <w:fldChar w:fldCharType="begin"/>
      </w:r>
      <w:r w:rsidR="005311F9">
        <w:instrText xml:space="preserve"> ADDIN ZOTERO_ITEM CSL_CITATION {"citationID":"VDdnXxtx","properties":{"formattedCitation":"(New Zealand Medical Council, 2020)","plainCitation":"(New Zealand Medical Council, 2020)","noteIndex":0},"citationItems":[{"id":11910,"uris":["http://zotero.org/groups/2320358/items/JQ7I5LL3"],"itemData":{"id":11910,"type":"report","abstract":"can be used Health Practitioners Disciplinary Tribunal, the Council, and the Health and Disability Commissioner as a standard by which\nyour conduct is measure","publisher":"New Zealand Medical Council","title":"Statement on good prescribing practice.","URL":"https://www.mcnz.org.nz/assets/standards/ceae513c85/Statement-on-good-prescribing-practice.pdf","author":[{"family":"New Zealand Medical Council","given":""}],"issued":{"date-parts":[["2020",3]]}}}],"schema":"https://github.com/citation-style-language/schema/raw/master/csl-citation.json"} </w:instrText>
      </w:r>
      <w:r w:rsidR="005311F9">
        <w:fldChar w:fldCharType="separate"/>
      </w:r>
      <w:r w:rsidR="005311F9" w:rsidRPr="00667E85">
        <w:rPr>
          <w:rFonts w:cs="Calibri"/>
        </w:rPr>
        <w:t>(New Zealand Medical Council, 2020)</w:t>
      </w:r>
      <w:r w:rsidR="005311F9">
        <w:fldChar w:fldCharType="end"/>
      </w:r>
      <w:r w:rsidR="00D432DA">
        <w:t xml:space="preserve"> </w:t>
      </w:r>
    </w:p>
    <w:p w14:paraId="763708FD" w14:textId="52CCFF79" w:rsidR="009272AD" w:rsidRDefault="009272AD" w:rsidP="00885484">
      <w:pPr>
        <w:pStyle w:val="Heading4"/>
      </w:pPr>
      <w:bookmarkStart w:id="41" w:name="_Toc140574851"/>
      <w:r>
        <w:lastRenderedPageBreak/>
        <w:t>Puberty suppression</w:t>
      </w:r>
      <w:bookmarkEnd w:id="41"/>
    </w:p>
    <w:p w14:paraId="32C41CF3" w14:textId="1BCA2F76" w:rsidR="00F4495B" w:rsidRPr="00F4495B" w:rsidRDefault="00F4495B" w:rsidP="00885484">
      <w:r>
        <w:t xml:space="preserve">WPATH has a list of </w:t>
      </w:r>
      <w:r w:rsidR="00280D56">
        <w:t>four</w:t>
      </w:r>
      <w:r w:rsidR="00437315">
        <w:t xml:space="preserve"> </w:t>
      </w:r>
      <w:r w:rsidR="00DC7255">
        <w:t xml:space="preserve">minimum </w:t>
      </w:r>
      <w:r w:rsidR="00437315">
        <w:t>criteria</w:t>
      </w:r>
      <w:r w:rsidR="00372177">
        <w:t xml:space="preserve"> before introducing puberty suppression</w:t>
      </w:r>
      <w:r w:rsidR="00977D26">
        <w:t xml:space="preserve"> but PATHA</w:t>
      </w:r>
      <w:r w:rsidR="001A7547">
        <w:t>’s advice</w:t>
      </w:r>
      <w:r w:rsidR="00261306">
        <w:t xml:space="preserve"> </w:t>
      </w:r>
      <w:r w:rsidR="00B4683C">
        <w:t>has none</w:t>
      </w:r>
      <w:r w:rsidR="00DC7255">
        <w:t>. PATH</w:t>
      </w:r>
      <w:r w:rsidR="008D2106">
        <w:t>A</w:t>
      </w:r>
      <w:r w:rsidR="00DC7255">
        <w:t xml:space="preserve"> also </w:t>
      </w:r>
      <w:r w:rsidR="00261306">
        <w:t>goes beyond</w:t>
      </w:r>
      <w:r w:rsidR="0052374E">
        <w:t xml:space="preserve"> </w:t>
      </w:r>
      <w:r w:rsidR="00B4683C">
        <w:t>WPATH in advising</w:t>
      </w:r>
      <w:r w:rsidR="007435D7">
        <w:t xml:space="preserve"> that </w:t>
      </w:r>
      <w:r w:rsidR="00B4683C">
        <w:t xml:space="preserve">their </w:t>
      </w:r>
      <w:r w:rsidR="00261306">
        <w:t>use continue</w:t>
      </w:r>
      <w:r w:rsidR="00B4683C">
        <w:t>s</w:t>
      </w:r>
      <w:r w:rsidR="00261306">
        <w:t xml:space="preserve"> until other treatment is commenced and advi</w:t>
      </w:r>
      <w:r w:rsidR="007435D7">
        <w:t>s</w:t>
      </w:r>
      <w:r w:rsidR="00261306">
        <w:t xml:space="preserve">ing their use </w:t>
      </w:r>
      <w:r w:rsidR="00D16851">
        <w:t xml:space="preserve">can commence </w:t>
      </w:r>
      <w:r w:rsidR="00261306">
        <w:t>in ‘late puberty’</w:t>
      </w:r>
      <w:r w:rsidR="00280D56">
        <w:t xml:space="preserve"> and </w:t>
      </w:r>
      <w:r w:rsidR="00D63766">
        <w:t xml:space="preserve">that </w:t>
      </w:r>
      <w:r w:rsidR="00224A73">
        <w:t>lack of parental support ‘</w:t>
      </w:r>
      <w:r w:rsidR="00224A73" w:rsidRPr="00224A73">
        <w:t>should not preclude them from receiving support and care</w:t>
      </w:r>
      <w:r w:rsidR="00224A73">
        <w:t>’</w:t>
      </w:r>
      <w:r w:rsidR="00D568F0">
        <w:t xml:space="preserve"> whereas WPATH SOC 7 requires </w:t>
      </w:r>
      <w:r w:rsidR="00D91EFD">
        <w:t xml:space="preserve">both </w:t>
      </w:r>
      <w:r w:rsidR="00D568F0">
        <w:t>parental</w:t>
      </w:r>
      <w:r w:rsidR="00D91EFD">
        <w:t xml:space="preserve"> consent and ongoing support</w:t>
      </w:r>
      <w:r w:rsidR="00261306">
        <w:t>.</w:t>
      </w:r>
      <w:r w:rsidR="002C2065">
        <w:t xml:space="preserve"> </w:t>
      </w:r>
      <w:r w:rsidR="000A0AF8">
        <w:t xml:space="preserve"> </w:t>
      </w:r>
      <w:r w:rsidR="002A2F6A">
        <w:t>The PATHA Guideline</w:t>
      </w:r>
      <w:r w:rsidR="000A0AF8">
        <w:t xml:space="preserve"> </w:t>
      </w:r>
      <w:r w:rsidR="001C568E">
        <w:t>on th</w:t>
      </w:r>
      <w:r w:rsidR="00854BDE">
        <w:t xml:space="preserve">ese </w:t>
      </w:r>
      <w:r w:rsidR="001C568E">
        <w:t xml:space="preserve">points </w:t>
      </w:r>
      <w:r w:rsidR="000A0AF8">
        <w:t xml:space="preserve"> relies heavily on the AusPATH guideline </w:t>
      </w:r>
      <w:r w:rsidR="00A378D4">
        <w:t>whose own recommendations ‘</w:t>
      </w:r>
      <w:r w:rsidR="00A378D4" w:rsidRPr="003D32E5">
        <w:rPr>
          <w:i/>
          <w:iCs/>
        </w:rPr>
        <w:t>are based primarily on clinician consensus, along with previously published standards of care, treatment guidelines and position statements, and data from a limited number of non-randomised clinical studies and observational studies</w:t>
      </w:r>
      <w:r w:rsidR="004568B0">
        <w:rPr>
          <w:i/>
          <w:iCs/>
        </w:rPr>
        <w:t>’</w:t>
      </w:r>
      <w:r w:rsidR="00D066AE">
        <w:rPr>
          <w:i/>
          <w:iCs/>
        </w:rPr>
        <w:t xml:space="preserve"> </w:t>
      </w:r>
      <w:r w:rsidR="00A378D4">
        <w:rPr>
          <w:i/>
          <w:iCs/>
        </w:rPr>
        <w:fldChar w:fldCharType="begin"/>
      </w:r>
      <w:r w:rsidR="00A378D4">
        <w:rPr>
          <w:i/>
          <w:iCs/>
        </w:rPr>
        <w:instrText xml:space="preserve"> ADDIN ZOTERO_ITEM CSL_CITATION {"citationID":"0RgEy6AX","properties":{"formattedCitation":"(Telfer et al., 2018)","plainCitation":"(Telfer et al., 2018)","noteIndex":0},"citationItems":[{"id":11709,"uris":["http://zotero.org/groups/4882545/items/YDBRBVNT"],"itemData":{"id":11709,"type":"article-journal","abstract":"Introduction: The Australian standards of care and treatment guidelines aim to maximise quality care provision to transgender and gender diverse (TGD) children and adolescents across Australia, while recognising the unique circumstances of providing such care to this population. Recommendations are made based on available empirical evidence and clinician consensus, and have been developed in consultation with Australian professionals from multiple disciplines working with the TGD population, TGD support organisations, as well as TGD children and adolescents and their families. Main recommendations: Recommendations include general principles for supporting TGD children and adolescents using an affirmative approach, separate guidelines for the care of pre-pubertal children and TGD adolescents, as well as discipline-based recommendations for mental health care, medical and surgical interventions, fertility preservation, and speech therapy. Changes in management as a result of this statement: Although published international treatment guidelines currently exist, challenges in accessing and providing TGD health care specific to Australia have not been addressed to date. In response to this, these are the first guidelines to be developed for TGD children and adolescents in Australia. These guidelines also move away from treatment recommendations based on chronological age, with recommended timing of medical transition and surgical interventions dependent on the adolescent's capacity and competence to make informed decisions, duration of time on puberty suppression, coexisting mental health and medical issues, and existing family support.","container-title":"Medical Journal of Australia","DOI":"10.5694/mja17.01044","ISSN":"1326-5377","issue":"3","language":"en","license":"© 2018 AMPCo Pty Ltd. All rights reserved","note":"_eprint: https://onlinelibrary.wiley.com/doi/pdf/10.5694/mja17.01044","page":"132-136","source":"Wiley Online Library","title":"Australian standards of care and treatment guidelines for transgender and gender diverse children and adolescents","URL":"https://onlinelibrary.wiley.com/doi/abs/10.5694/mja17.01044","volume":"209","author":[{"family":"Telfer","given":"Michelle M"},{"family":"Tollit","given":"Michelle A"},{"family":"Pace","given":"Carmen C"},{"family":"Pang","given":"Ken C"}],"accessed":{"date-parts":[["2023",7,14]]},"issued":{"date-parts":[["2018"]]}}}],"schema":"https://github.com/citation-style-language/schema/raw/master/csl-citation.json"} </w:instrText>
      </w:r>
      <w:r w:rsidR="00A378D4">
        <w:rPr>
          <w:i/>
          <w:iCs/>
        </w:rPr>
        <w:fldChar w:fldCharType="separate"/>
      </w:r>
      <w:r w:rsidR="00A378D4" w:rsidRPr="003A60A4">
        <w:rPr>
          <w:rFonts w:cs="Calibri"/>
        </w:rPr>
        <w:t>(Telfer et al., 2018)</w:t>
      </w:r>
      <w:r w:rsidR="00A378D4">
        <w:rPr>
          <w:i/>
          <w:iCs/>
        </w:rPr>
        <w:fldChar w:fldCharType="end"/>
      </w:r>
      <w:r w:rsidR="00D066AE">
        <w:rPr>
          <w:i/>
          <w:iCs/>
        </w:rPr>
        <w:t xml:space="preserve">. </w:t>
      </w:r>
      <w:r w:rsidR="00D066AE">
        <w:t xml:space="preserve">Clinical consensus, absent evidence, is the lowest form of medical evidence. </w:t>
      </w:r>
      <w:r w:rsidR="00D066AE">
        <w:fldChar w:fldCharType="begin"/>
      </w:r>
      <w:r w:rsidR="00D066AE">
        <w:instrText xml:space="preserve"> ADDIN ZOTERO_ITEM CSL_CITATION {"citationID":"kg3LUBIg","properties":{"formattedCitation":"(Turner, 2023)","plainCitation":"(Turner, 2023)","noteIndex":0},"citationItems":[{"id":11712,"uris":["http://zotero.org/groups/4882545/items/RTWW4KAH"],"itemData":{"id":11712,"type":"report","abstract":"This guide includes a tutorial about Evidence-Based Practice (EBP) in Health, a Reference Shelf of supporting eBooks, and a Toolkit of online sources of evidence.","language":"en","license":"Copyright University of Canberra 2023","publisher":"University of Canberra","title":"Evidence-Based Practice in Health: Hierarchy of Evidence","title-short":"UC Library Guides","URL":"https://canberra.libguides.com/c.php?g=599346&amp;p=4149721","author":[{"family":"Turner","given":"Murray"}],"accessed":{"date-parts":[["2023",7,14]]},"issued":{"date-parts":[["2023"]]}}}],"schema":"https://github.com/citation-style-language/schema/raw/master/csl-citation.json"} </w:instrText>
      </w:r>
      <w:r w:rsidR="00D066AE">
        <w:fldChar w:fldCharType="separate"/>
      </w:r>
      <w:r w:rsidR="00D066AE" w:rsidRPr="0032662B">
        <w:rPr>
          <w:rFonts w:cs="Calibri"/>
        </w:rPr>
        <w:t>(Turner, 2023)</w:t>
      </w:r>
      <w:r w:rsidR="00D066AE">
        <w:fldChar w:fldCharType="end"/>
      </w:r>
      <w:r w:rsidR="00A378D4">
        <w:rPr>
          <w:i/>
          <w:iCs/>
        </w:rPr>
        <w:t xml:space="preserve"> </w:t>
      </w:r>
      <w:r w:rsidR="00F3500F" w:rsidRPr="00F3500F">
        <w:t>The other main evidence for puberty suppression was a</w:t>
      </w:r>
      <w:r w:rsidR="006E0112" w:rsidRPr="00F3500F">
        <w:t xml:space="preserve"> systematic</w:t>
      </w:r>
      <w:r w:rsidR="006E0112">
        <w:t xml:space="preserve"> review from the </w:t>
      </w:r>
      <w:r w:rsidR="00A543D5">
        <w:t>Endocrine Society</w:t>
      </w:r>
      <w:r w:rsidR="003D4B4E">
        <w:t xml:space="preserve"> which </w:t>
      </w:r>
      <w:r w:rsidR="006E0112">
        <w:rPr>
          <w:lang w:val="mi-NZ"/>
        </w:rPr>
        <w:t>acknowledged that the evidence base used was weak even as it recommended an affirmative approach</w:t>
      </w:r>
      <w:r w:rsidR="003D4B4E">
        <w:rPr>
          <w:lang w:val="mi-NZ"/>
        </w:rPr>
        <w:t xml:space="preserve"> and bl</w:t>
      </w:r>
      <w:r w:rsidR="00A378D4">
        <w:rPr>
          <w:lang w:val="mi-NZ"/>
        </w:rPr>
        <w:t>ockers</w:t>
      </w:r>
      <w:r w:rsidR="00A23112">
        <w:rPr>
          <w:lang w:val="mi-NZ"/>
        </w:rPr>
        <w:t xml:space="preserve"> </w:t>
      </w:r>
      <w:r w:rsidR="006E0112">
        <w:rPr>
          <w:lang w:val="mi-NZ"/>
        </w:rPr>
        <w:fldChar w:fldCharType="begin"/>
      </w:r>
      <w:r w:rsidR="006601B1">
        <w:rPr>
          <w:lang w:val="mi-NZ"/>
        </w:rPr>
        <w:instrText xml:space="preserve"> ADDIN ZOTERO_ITEM CSL_CITATION {"citationID":"afCZdQia","properties":{"formattedCitation":"(Endocrine Society &amp; Hembree, 2017; Lane, 2023b)","plainCitation":"(Endocrine Society &amp; Hembree, 2017; Lane, 2023b)","noteIndex":0},"citationItems":[{"id":7970,"uris":["http://zotero.org/groups/4882545/items/IY7E93C3"],"itemData":{"id":7970,"type":"article-journal","container-title":"The Journal of Clinical Endocrinology &amp; Metabolism","title":"Endocrine Treatment of Gender-Dysphoric/Gender-Incongruent Persons: An Endocrine Society* Clinical Practice Guideline","URL":"https://academic.oup.com/jcem/article/102/11/3869/4157558","author":[{"family":"Endocrine Society","given":""},{"family":"Hembree","given":"Wylie C"}],"accessed":{"date-parts":[["2019",8,17]]},"issued":{"date-parts":[["2017",9,13]]}}},{"id":11724,"uris":["http://zotero.org/groups/4882545/items/ZLIZ9XSL"],"itemData":{"id":11724,"type":"post-weblog","abstract":"Clinicians debunk the Endocrine Society's claim that gender-affirming care prevents suicide, using with its own words","container-title":"Gender Clinic News","genre":"Substack newsletter","title":"Blocked &amp; retorted","URL":"https://genderclinicnews.substack.com/p/blocked-and-retorted","author":[{"family":"Lane","given":"Bernard"}],"accessed":{"date-parts":[["2023",7,14]]},"issued":{"date-parts":[["2023",7,14]]}}}],"schema":"https://github.com/citation-style-language/schema/raw/master/csl-citation.json"} </w:instrText>
      </w:r>
      <w:r w:rsidR="006E0112">
        <w:rPr>
          <w:lang w:val="mi-NZ"/>
        </w:rPr>
        <w:fldChar w:fldCharType="separate"/>
      </w:r>
      <w:r w:rsidR="006601B1" w:rsidRPr="006601B1">
        <w:rPr>
          <w:rFonts w:cs="Calibri"/>
        </w:rPr>
        <w:t>(Endocrine Society &amp; Hembree, 2017; Lane, 2023b)</w:t>
      </w:r>
      <w:r w:rsidR="006E0112">
        <w:rPr>
          <w:lang w:val="mi-NZ"/>
        </w:rPr>
        <w:fldChar w:fldCharType="end"/>
      </w:r>
      <w:r w:rsidR="00A23112">
        <w:rPr>
          <w:lang w:val="mi-NZ"/>
        </w:rPr>
        <w:t>.</w:t>
      </w:r>
      <w:r w:rsidR="00126780" w:rsidRPr="004A2C7E">
        <w:rPr>
          <w:rStyle w:val="FootnoteReference"/>
        </w:rPr>
        <w:footnoteReference w:id="9"/>
      </w:r>
    </w:p>
    <w:p w14:paraId="745A2CC9" w14:textId="64464880" w:rsidR="009272AD" w:rsidRDefault="00CD44F7" w:rsidP="00885484">
      <w:pPr>
        <w:pStyle w:val="Heading4"/>
      </w:pPr>
      <w:bookmarkStart w:id="42" w:name="_Toc140574852"/>
      <w:r>
        <w:t>Blockers</w:t>
      </w:r>
      <w:r w:rsidR="0007130B">
        <w:t xml:space="preserve"> potential to</w:t>
      </w:r>
      <w:r w:rsidR="0052374E">
        <w:t xml:space="preserve"> </w:t>
      </w:r>
      <w:r>
        <w:t xml:space="preserve">impact on </w:t>
      </w:r>
      <w:r w:rsidR="0007130B">
        <w:t>male genitals</w:t>
      </w:r>
      <w:bookmarkEnd w:id="42"/>
      <w:r w:rsidR="0007130B">
        <w:t xml:space="preserve"> </w:t>
      </w:r>
    </w:p>
    <w:p w14:paraId="67D7021B" w14:textId="2BA659F8" w:rsidR="000455A0" w:rsidRDefault="003370E5" w:rsidP="00885484">
      <w:r>
        <w:t xml:space="preserve">WPATH recognises that early pubertal suppression will impact later surgical </w:t>
      </w:r>
      <w:r w:rsidR="00A40C6C">
        <w:t>options</w:t>
      </w:r>
      <w:r w:rsidR="00567BB0">
        <w:t xml:space="preserve"> </w:t>
      </w:r>
      <w:r w:rsidR="00B432DD">
        <w:t>for boys</w:t>
      </w:r>
      <w:r w:rsidR="00CC6042">
        <w:t>,</w:t>
      </w:r>
      <w:r w:rsidR="00567BB0">
        <w:t xml:space="preserve"> because the penis and testes remain at the size of a child’s</w:t>
      </w:r>
      <w:r w:rsidR="00A40C6C">
        <w:t>,</w:t>
      </w:r>
      <w:r>
        <w:t xml:space="preserve"> but PATHA does not spell out the implic</w:t>
      </w:r>
      <w:r w:rsidR="00B021FF">
        <w:t>a</w:t>
      </w:r>
      <w:r>
        <w:t>tions</w:t>
      </w:r>
      <w:r w:rsidR="00D04F97">
        <w:t xml:space="preserve">. </w:t>
      </w:r>
      <w:r w:rsidR="007F0974">
        <w:t xml:space="preserve">These are </w:t>
      </w:r>
      <w:r w:rsidR="00AC13A5" w:rsidRPr="004769D7">
        <w:t xml:space="preserve">the </w:t>
      </w:r>
      <w:r w:rsidR="00AC13A5">
        <w:t xml:space="preserve">less desirable </w:t>
      </w:r>
      <w:r w:rsidR="00AC13A5" w:rsidRPr="004769D7">
        <w:t xml:space="preserve">surgical </w:t>
      </w:r>
      <w:r w:rsidR="00AC13A5">
        <w:t xml:space="preserve">options </w:t>
      </w:r>
      <w:r w:rsidR="00AF683C">
        <w:t xml:space="preserve">available for </w:t>
      </w:r>
      <w:r w:rsidR="008F0935">
        <w:t xml:space="preserve">surgery to </w:t>
      </w:r>
      <w:r w:rsidR="007110E7">
        <w:t xml:space="preserve">imitate </w:t>
      </w:r>
      <w:r w:rsidR="00BF01E3">
        <w:t xml:space="preserve">female </w:t>
      </w:r>
      <w:r w:rsidR="007110E7">
        <w:t xml:space="preserve">genitals </w:t>
      </w:r>
      <w:r w:rsidR="00AC13A5">
        <w:t xml:space="preserve">and </w:t>
      </w:r>
      <w:r w:rsidR="00FE0B8B">
        <w:t>impacts on</w:t>
      </w:r>
      <w:r w:rsidR="00AC13A5">
        <w:t xml:space="preserve"> sexual function</w:t>
      </w:r>
      <w:r w:rsidR="00E1292C">
        <w:t xml:space="preserve">.  </w:t>
      </w:r>
      <w:r w:rsidR="00547F3C">
        <w:t>These are unsatisfactory impacts that were easy to anticipate and i</w:t>
      </w:r>
      <w:r w:rsidR="002D2F4D">
        <w:t>n the last year b</w:t>
      </w:r>
      <w:r w:rsidR="00AC13A5">
        <w:t xml:space="preserve">oth lack of tissue and lack of sexual response </w:t>
      </w:r>
      <w:r w:rsidR="00CF5286">
        <w:t xml:space="preserve">from puberty blockade </w:t>
      </w:r>
      <w:r w:rsidR="00AC13A5">
        <w:t>ha</w:t>
      </w:r>
      <w:r w:rsidR="00C84789">
        <w:t>ve</w:t>
      </w:r>
      <w:r w:rsidR="00AC13A5">
        <w:t xml:space="preserve"> been addressed </w:t>
      </w:r>
      <w:r w:rsidR="004D68ED">
        <w:t>as problem</w:t>
      </w:r>
      <w:r w:rsidR="00C84789">
        <w:t>s</w:t>
      </w:r>
      <w:r w:rsidR="004D68ED">
        <w:t xml:space="preserve"> </w:t>
      </w:r>
      <w:r w:rsidR="00AC13A5">
        <w:t>by WPATH president Marci Bowers</w:t>
      </w:r>
      <w:r w:rsidR="00A23112">
        <w:t xml:space="preserve"> </w:t>
      </w:r>
      <w:r w:rsidR="00AC13A5">
        <w:fldChar w:fldCharType="begin"/>
      </w:r>
      <w:r w:rsidR="000D5A3F">
        <w:instrText xml:space="preserve"> ADDIN ZOTERO_ITEM CSL_CITATION {"citationID":"PCmbLOpy","properties":{"formattedCitation":"(Shrier, 2021)","plainCitation":"(Shrier, 2021)","noteIndex":0},"citationItems":[{"id":11671,"uris":["http://zotero.org/groups/4882545/items/236J7PAM"],"itemData":{"id":11671,"type":"article-newspaper","abstract":"In exclusive interviews, two prominent providers sound off on puberty blockers, 'affirmative' care, the inhibition of sexual pleasure, and the suppression of dissent in their field.","container-title":"The Free Press","language":"en","title":"Top Trans Doctors Blow the Whistle on ‘Sloppy’ Care","URL":"https://www.thefp.com/p/top-trans-doctors-blow-the-whistle","author":[{"family":"Shrier","given":"Abigail"}],"accessed":{"date-parts":[["2023",7,11]]},"issued":{"date-parts":[["2021",10,4]]}}}],"schema":"https://github.com/citation-style-language/schema/raw/master/csl-citation.json"} </w:instrText>
      </w:r>
      <w:r w:rsidR="00AC13A5">
        <w:fldChar w:fldCharType="separate"/>
      </w:r>
      <w:r w:rsidR="00AC13A5" w:rsidRPr="002C4BC0">
        <w:rPr>
          <w:rFonts w:cs="Calibri"/>
        </w:rPr>
        <w:t>(Shrier, 2021)</w:t>
      </w:r>
      <w:r w:rsidR="00AC13A5">
        <w:fldChar w:fldCharType="end"/>
      </w:r>
      <w:r w:rsidR="00CD44F7">
        <w:t>.</w:t>
      </w:r>
      <w:r w:rsidR="00650836">
        <w:t xml:space="preserve"> </w:t>
      </w:r>
      <w:r w:rsidR="000F3EAB" w:rsidRPr="00523034">
        <w:rPr>
          <w:rStyle w:val="FootnoteReference"/>
        </w:rPr>
        <w:footnoteReference w:id="10"/>
      </w:r>
    </w:p>
    <w:p w14:paraId="6D74C9A6" w14:textId="6D3FE25D" w:rsidR="0074299E" w:rsidRDefault="0074299E" w:rsidP="00885484">
      <w:pPr>
        <w:pStyle w:val="Heading4"/>
      </w:pPr>
      <w:r>
        <w:lastRenderedPageBreak/>
        <w:t>Involvement of the transgender community in clinical guideline development</w:t>
      </w:r>
    </w:p>
    <w:p w14:paraId="6858B9EC" w14:textId="55B25577" w:rsidR="0074299E" w:rsidRPr="00A14333" w:rsidRDefault="0074299E" w:rsidP="00885484">
      <w:r>
        <w:t xml:space="preserve">The involvement of transgender people in the development of the </w:t>
      </w:r>
      <w:r w:rsidR="00A213DE">
        <w:t>W</w:t>
      </w:r>
      <w:r w:rsidR="00F32156">
        <w:t>P</w:t>
      </w:r>
      <w:r w:rsidR="00A213DE">
        <w:t xml:space="preserve">ATH </w:t>
      </w:r>
      <w:r w:rsidR="00B82A35">
        <w:t>SOC 7 was achieved through a formal process</w:t>
      </w:r>
      <w:r w:rsidR="00DD4734">
        <w:t xml:space="preserve"> of consultation</w:t>
      </w:r>
      <w:r w:rsidR="00B82A35">
        <w:t xml:space="preserve">. </w:t>
      </w:r>
      <w:r w:rsidR="00A213DE">
        <w:t xml:space="preserve"> </w:t>
      </w:r>
      <w:r w:rsidR="00E4252C">
        <w:t xml:space="preserve">In contrast </w:t>
      </w:r>
      <w:r w:rsidR="002A70B0">
        <w:t xml:space="preserve">the </w:t>
      </w:r>
      <w:r>
        <w:t>PATHA Guideline</w:t>
      </w:r>
      <w:r w:rsidR="002A70B0">
        <w:t xml:space="preserve"> </w:t>
      </w:r>
      <w:r w:rsidR="00F562E4">
        <w:t xml:space="preserve">process ensured that </w:t>
      </w:r>
      <w:r w:rsidR="00672DA4">
        <w:t>‘</w:t>
      </w:r>
      <w:r w:rsidR="00672DA4" w:rsidRPr="00B12B8A">
        <w:rPr>
          <w:i/>
          <w:iCs/>
        </w:rPr>
        <w:t>Transgender people</w:t>
      </w:r>
      <w:r w:rsidR="00672DA4">
        <w:rPr>
          <w:i/>
          <w:iCs/>
        </w:rPr>
        <w:t xml:space="preserve"> </w:t>
      </w:r>
      <w:r w:rsidR="00672DA4" w:rsidRPr="00B12B8A">
        <w:rPr>
          <w:i/>
          <w:iCs/>
        </w:rPr>
        <w:t>have been involved in the steering of the project, including development of services and these</w:t>
      </w:r>
      <w:r w:rsidR="00672DA4">
        <w:rPr>
          <w:i/>
          <w:iCs/>
        </w:rPr>
        <w:t xml:space="preserve"> </w:t>
      </w:r>
      <w:r w:rsidR="00672DA4" w:rsidRPr="00B12B8A">
        <w:rPr>
          <w:i/>
          <w:iCs/>
        </w:rPr>
        <w:t>guidelines. The importance of trans community leadership in the development of trans healthcare</w:t>
      </w:r>
      <w:r w:rsidR="00672DA4">
        <w:rPr>
          <w:i/>
          <w:iCs/>
        </w:rPr>
        <w:t xml:space="preserve"> </w:t>
      </w:r>
      <w:r w:rsidR="00672DA4" w:rsidRPr="00B12B8A">
        <w:rPr>
          <w:i/>
          <w:iCs/>
        </w:rPr>
        <w:t>services is paramount</w:t>
      </w:r>
      <w:r w:rsidR="00672DA4">
        <w:rPr>
          <w:i/>
          <w:iCs/>
        </w:rPr>
        <w:t>’</w:t>
      </w:r>
      <w:r w:rsidR="00BB371B">
        <w:t xml:space="preserve">. </w:t>
      </w:r>
      <w:r w:rsidR="00547F3C">
        <w:t>This level of community leadership</w:t>
      </w:r>
      <w:r w:rsidR="00394F7B">
        <w:t xml:space="preserve"> </w:t>
      </w:r>
      <w:r w:rsidR="006B6E93">
        <w:t xml:space="preserve">is </w:t>
      </w:r>
      <w:r w:rsidR="00394F7B">
        <w:t>introduced as part of the M</w:t>
      </w:r>
      <w:r w:rsidR="00394F7B">
        <w:rPr>
          <w:rFonts w:cs="Calibri"/>
        </w:rPr>
        <w:t>ā</w:t>
      </w:r>
      <w:r w:rsidR="00394F7B">
        <w:t xml:space="preserve">ori context for the Guideline </w:t>
      </w:r>
      <w:r w:rsidR="001F0DAE">
        <w:t>and</w:t>
      </w:r>
      <w:r w:rsidR="00B70EBD">
        <w:t xml:space="preserve"> </w:t>
      </w:r>
      <w:r w:rsidR="00B70EBD">
        <w:rPr>
          <w:i/>
          <w:iCs/>
        </w:rPr>
        <w:t xml:space="preserve">Te Pae Māhutonga </w:t>
      </w:r>
      <w:r w:rsidR="00313CFA">
        <w:t xml:space="preserve">which </w:t>
      </w:r>
      <w:r w:rsidR="00B70EBD" w:rsidRPr="00D52BAD">
        <w:t>is described in more detail below</w:t>
      </w:r>
      <w:r w:rsidR="00A85B2C">
        <w:t>. This</w:t>
      </w:r>
      <w:r w:rsidR="00B70EBD">
        <w:rPr>
          <w:i/>
          <w:iCs/>
        </w:rPr>
        <w:t xml:space="preserve"> </w:t>
      </w:r>
      <w:r w:rsidR="00BB371B">
        <w:t xml:space="preserve">is </w:t>
      </w:r>
      <w:r w:rsidR="00C37061">
        <w:t xml:space="preserve">surely </w:t>
      </w:r>
      <w:r w:rsidR="00BB371B">
        <w:t xml:space="preserve">a </w:t>
      </w:r>
      <w:r w:rsidR="00FF2383">
        <w:t>risk</w:t>
      </w:r>
      <w:r w:rsidR="00A85B2C">
        <w:t xml:space="preserve"> e</w:t>
      </w:r>
      <w:r>
        <w:t>specially</w:t>
      </w:r>
      <w:r w:rsidR="00292C49">
        <w:t xml:space="preserve"> </w:t>
      </w:r>
      <w:r>
        <w:t xml:space="preserve">in the absence of so many of the </w:t>
      </w:r>
      <w:r w:rsidR="00D7105C">
        <w:t xml:space="preserve">other steps </w:t>
      </w:r>
      <w:r>
        <w:t xml:space="preserve">for </w:t>
      </w:r>
      <w:r w:rsidR="00FF2383">
        <w:t>the development of clinical practice guidelin</w:t>
      </w:r>
      <w:r w:rsidR="00EC2B2B">
        <w:t>es</w:t>
      </w:r>
      <w:r w:rsidR="00D36F9A">
        <w:t>.</w:t>
      </w:r>
      <w:r>
        <w:t xml:space="preserve"> There is strong evidence from </w:t>
      </w:r>
      <w:r w:rsidR="006A44BC">
        <w:t>t</w:t>
      </w:r>
      <w:r w:rsidR="00154757">
        <w:t>he USA and UK</w:t>
      </w:r>
      <w:r>
        <w:t xml:space="preserve"> that activist pressure from transgender advocates has impacted the practice of transgender medicine and research</w:t>
      </w:r>
      <w:r w:rsidR="00627701">
        <w:t>.</w:t>
      </w:r>
      <w:r w:rsidR="00A23112">
        <w:t xml:space="preserve"> </w:t>
      </w:r>
      <w:r>
        <w:fldChar w:fldCharType="begin"/>
      </w:r>
      <w:r w:rsidR="00E023BF">
        <w:instrText xml:space="preserve"> ADDIN ZOTERO_ITEM CSL_CITATION {"citationID":"M6QIDViC","properties":{"formattedCitation":"(Bazelon, 2022; Dixon, 2023; Kay, 2019; Shrier, 2021)","plainCitation":"(Bazelon, 2022; Dixon, 2023; Kay, 2019; Shrier, 2021)","noteIndex":0},"citationItems":[{"id":8668,"uris":["http://zotero.org/groups/4882545/items/F4NCNA9V"],"itemData":{"id":8668,"type":"article-newspaper","abstract":"Even handed many months in preparation for this article, Emily Bazelon spoke with more than two dozen young people about their experiences..","container-title":"The New York Times","title":"The Battle Over Gender Therapy","URL":"https://www.nytimes.com/2022/06/15/magazine/gender-therapy.html","author":[{"family":"Bazelon","given":"Emily"}],"accessed":{"date-parts":[["2022",6,24]]},"issued":{"date-parts":[["2022",6,15]]}}},{"id":10070,"uris":["http://zotero.org/groups/4882545/items/9V9GF8YF"],"itemData":{"id":10070,"type":"article-newspaper","abstract":"the charity, currently under investigation, will provide sessions for South London and Maudsley staff this month","container-title":"The Telegraph","title":"NHS Trust taking over trans children care from Tavistock ‘being trained by Mermaids’","URL":"https://archive.md/ZqtjI","author":[{"family":"Dixon","given":"Hayley"}],"accessed":{"date-parts":[["2023",1,15]]},"issued":{"date-parts":[["2023",1,13]]}}},{"id":8748,"uris":["http://zotero.org/groups/4882545/items/QKI87Q6J"],"itemData":{"id":8748,"type":"article-journal","container-title":"Quillette","title":"An Interview With Lisa Littman, Who Coined the Term ‘Rapid Onset Gender Dysphoria’","URL":"https://quillette.com/2019/03/19/an-interview-with-lisa-littman-who-coined-the-term-rapid-onset-gender-dysphoria/","author":[{"family":"Kay","given":"Jonathan"}],"accessed":{"date-parts":[["2019",6,17]]},"issued":{"date-parts":[["2019",3,19]]}}},{"id":11671,"uris":["http://zotero.org/groups/4882545/items/236J7PAM"],"itemData":{"id":11671,"type":"article-newspaper","abstract":"In exclusive interviews, two prominent providers sound off on puberty blockers, 'affirmative' care, the inhibition of sexual pleasure, and the suppression of dissent in their field.","container-title":"The Free Press","language":"en","title":"Top Trans Doctors Blow the Whistle on ‘Sloppy’ Care","URL":"https://www.thefp.com/p/top-trans-doctors-blow-the-whistle","author":[{"family":"Shrier","given":"Abigail"}],"accessed":{"date-parts":[["2023",7,11]]},"issued":{"date-parts":[["2021",10,4]]}}}],"schema":"https://github.com/citation-style-language/schema/raw/master/csl-citation.json"} </w:instrText>
      </w:r>
      <w:r>
        <w:fldChar w:fldCharType="separate"/>
      </w:r>
      <w:r w:rsidR="00F72F0F" w:rsidRPr="00F72F0F">
        <w:rPr>
          <w:rFonts w:cs="Calibri"/>
        </w:rPr>
        <w:t>(Bazelon, 2022; Dixon, 2023; Kay, 2019; Shrier, 2021)</w:t>
      </w:r>
      <w:r>
        <w:fldChar w:fldCharType="end"/>
      </w:r>
      <w:r w:rsidR="00A23112">
        <w:t>.</w:t>
      </w:r>
      <w:r>
        <w:t xml:space="preserve"> </w:t>
      </w:r>
      <w:r w:rsidRPr="00A14333">
        <w:t>Adult transgender people who</w:t>
      </w:r>
      <w:r w:rsidR="009C0A72">
        <w:t xml:space="preserve"> recall</w:t>
      </w:r>
      <w:r w:rsidRPr="00A14333">
        <w:t xml:space="preserve"> their childhood distress should not be guiding </w:t>
      </w:r>
      <w:r w:rsidR="00FD0F5A">
        <w:t>treatment</w:t>
      </w:r>
      <w:r w:rsidRPr="00A14333">
        <w:t xml:space="preserve"> </w:t>
      </w:r>
      <w:r w:rsidR="0053425E">
        <w:t xml:space="preserve">policy </w:t>
      </w:r>
      <w:r w:rsidRPr="00A14333">
        <w:t xml:space="preserve">for </w:t>
      </w:r>
      <w:r w:rsidR="005E2B45">
        <w:t xml:space="preserve">those </w:t>
      </w:r>
      <w:r w:rsidRPr="00A14333">
        <w:t>children wh</w:t>
      </w:r>
      <w:r w:rsidR="005E2B45">
        <w:t>o have dysphoria</w:t>
      </w:r>
      <w:r w:rsidR="00424CD8">
        <w:t xml:space="preserve"> or</w:t>
      </w:r>
      <w:r w:rsidR="005E2B45">
        <w:t xml:space="preserve"> are gender questioning wh</w:t>
      </w:r>
      <w:r w:rsidRPr="00A14333">
        <w:t xml:space="preserve">en </w:t>
      </w:r>
      <w:r w:rsidR="00B759B3">
        <w:t>most</w:t>
      </w:r>
      <w:r w:rsidR="00721230">
        <w:t xml:space="preserve"> </w:t>
      </w:r>
      <w:r w:rsidR="00B0572D">
        <w:t xml:space="preserve">of the </w:t>
      </w:r>
      <w:r w:rsidR="00721230">
        <w:t>children</w:t>
      </w:r>
      <w:r w:rsidR="00D0294E">
        <w:t xml:space="preserve"> </w:t>
      </w:r>
      <w:r w:rsidR="00CD4F82">
        <w:t xml:space="preserve">will have </w:t>
      </w:r>
      <w:r w:rsidR="00B0572D">
        <w:t xml:space="preserve"> </w:t>
      </w:r>
      <w:r w:rsidRPr="00A14333">
        <w:t>resolve</w:t>
      </w:r>
      <w:r w:rsidR="00B0572D">
        <w:t>d</w:t>
      </w:r>
      <w:r w:rsidRPr="00A14333">
        <w:t xml:space="preserve"> their feelings about their gender by the end of puberty. </w:t>
      </w:r>
      <w:r w:rsidR="00FA7132">
        <w:t>I</w:t>
      </w:r>
      <w:r w:rsidR="00F56311">
        <w:t xml:space="preserve">t appears </w:t>
      </w:r>
      <w:r w:rsidR="00CF02AA">
        <w:t xml:space="preserve">highly </w:t>
      </w:r>
      <w:r w:rsidR="00F56311">
        <w:t>likely</w:t>
      </w:r>
      <w:r w:rsidR="00031B52">
        <w:t xml:space="preserve"> </w:t>
      </w:r>
      <w:r w:rsidRPr="00A14333">
        <w:t>that</w:t>
      </w:r>
      <w:r w:rsidR="00F56311">
        <w:t xml:space="preserve"> it</w:t>
      </w:r>
      <w:r w:rsidRPr="00A14333">
        <w:t xml:space="preserve"> is this very close involvement of transgender people and their allies </w:t>
      </w:r>
      <w:r w:rsidR="00FA7132">
        <w:t xml:space="preserve">at the heart </w:t>
      </w:r>
      <w:r w:rsidRPr="00A14333">
        <w:t>of</w:t>
      </w:r>
      <w:r w:rsidR="004C1AED">
        <w:t xml:space="preserve"> the PATHA Guideline</w:t>
      </w:r>
      <w:r w:rsidR="00E60C50">
        <w:t xml:space="preserve"> </w:t>
      </w:r>
      <w:r w:rsidR="00031B52">
        <w:t xml:space="preserve">that </w:t>
      </w:r>
      <w:r w:rsidR="00E60C50">
        <w:t>accounts for</w:t>
      </w:r>
      <w:r w:rsidR="00074A01">
        <w:t xml:space="preserve"> </w:t>
      </w:r>
      <w:r w:rsidR="00424CD8">
        <w:t xml:space="preserve">at least some </w:t>
      </w:r>
      <w:r w:rsidR="004D6AB4">
        <w:t xml:space="preserve">of </w:t>
      </w:r>
      <w:r w:rsidRPr="00A14333">
        <w:t>th</w:t>
      </w:r>
      <w:r w:rsidR="00E33826">
        <w:t>e recommendations</w:t>
      </w:r>
      <w:r w:rsidR="00074A01">
        <w:t xml:space="preserve">, </w:t>
      </w:r>
      <w:r w:rsidR="00E33826">
        <w:t xml:space="preserve">having such a </w:t>
      </w:r>
      <w:r w:rsidR="007C6749">
        <w:t>remarkabl</w:t>
      </w:r>
      <w:r w:rsidR="00E33826">
        <w:t xml:space="preserve">y </w:t>
      </w:r>
      <w:r w:rsidR="007C6749">
        <w:t>differen</w:t>
      </w:r>
      <w:r w:rsidR="00E33826">
        <w:t>t</w:t>
      </w:r>
      <w:r w:rsidR="007C6749">
        <w:t xml:space="preserve"> focus </w:t>
      </w:r>
      <w:r w:rsidR="00E33826">
        <w:t>than</w:t>
      </w:r>
      <w:r w:rsidR="002E6C4D">
        <w:t xml:space="preserve"> thos</w:t>
      </w:r>
      <w:r w:rsidR="004751DB">
        <w:t>e</w:t>
      </w:r>
      <w:r w:rsidR="002E6C4D">
        <w:t xml:space="preserve"> in WPATH</w:t>
      </w:r>
      <w:r w:rsidR="007C6749">
        <w:t xml:space="preserve"> </w:t>
      </w:r>
      <w:r w:rsidR="000733B8">
        <w:t>SOC 7</w:t>
      </w:r>
      <w:r w:rsidR="00031B52">
        <w:t>.</w:t>
      </w:r>
      <w:r w:rsidR="000F3EAB" w:rsidRPr="00523034">
        <w:rPr>
          <w:rStyle w:val="FootnoteReference"/>
        </w:rPr>
        <w:footnoteReference w:id="11"/>
      </w:r>
    </w:p>
    <w:p w14:paraId="725EB7E0" w14:textId="66022C7F" w:rsidR="002A2F6A" w:rsidRDefault="002A2F6A" w:rsidP="00885484">
      <w:pPr>
        <w:pStyle w:val="Heading2"/>
      </w:pPr>
      <w:bookmarkStart w:id="43" w:name="_Toc140574842"/>
      <w:bookmarkStart w:id="44" w:name="_Toc143668011"/>
      <w:bookmarkStart w:id="45" w:name="_Toc145238124"/>
      <w:bookmarkStart w:id="46" w:name="_Toc156044304"/>
      <w:r>
        <w:t xml:space="preserve">Assessment of the use of </w:t>
      </w:r>
      <w:r w:rsidR="00A56CBF">
        <w:t>Māori</w:t>
      </w:r>
      <w:r>
        <w:t xml:space="preserve"> Health frameworks</w:t>
      </w:r>
      <w:bookmarkEnd w:id="43"/>
      <w:bookmarkEnd w:id="44"/>
      <w:bookmarkEnd w:id="45"/>
      <w:bookmarkEnd w:id="46"/>
    </w:p>
    <w:p w14:paraId="36C104EF" w14:textId="2B5FE6C3" w:rsidR="002A2F6A" w:rsidRPr="002A298B" w:rsidRDefault="007E4BEC" w:rsidP="00885484">
      <w:pPr>
        <w:rPr>
          <w:i/>
          <w:iCs/>
        </w:rPr>
      </w:pPr>
      <w:r>
        <w:t>T</w:t>
      </w:r>
      <w:r w:rsidR="002A2F6A">
        <w:t>here is no reason that M</w:t>
      </w:r>
      <w:r w:rsidR="002A2F6A">
        <w:rPr>
          <w:rFonts w:cs="Calibri"/>
        </w:rPr>
        <w:t>ā</w:t>
      </w:r>
      <w:r w:rsidR="002A2F6A">
        <w:t>ori health frameworks could not be used in the development of evidence</w:t>
      </w:r>
      <w:r w:rsidR="00866938">
        <w:t>-</w:t>
      </w:r>
      <w:r w:rsidR="002A2F6A">
        <w:t>based care</w:t>
      </w:r>
      <w:r w:rsidR="00703DCB">
        <w:t>. T</w:t>
      </w:r>
      <w:r w:rsidR="002A2F6A">
        <w:t xml:space="preserve">he use of such frameworks </w:t>
      </w:r>
      <w:r w:rsidR="00CB6307">
        <w:t xml:space="preserve">would </w:t>
      </w:r>
      <w:r w:rsidR="002A2F6A">
        <w:t xml:space="preserve">offer some opportunities that medical models </w:t>
      </w:r>
      <w:r w:rsidR="004D6AB4">
        <w:t>sometimes</w:t>
      </w:r>
      <w:r w:rsidR="002A2F6A">
        <w:t xml:space="preserve"> lack.</w:t>
      </w:r>
      <w:r w:rsidR="0052374E">
        <w:t xml:space="preserve"> </w:t>
      </w:r>
      <w:r w:rsidR="002A2F6A">
        <w:t>These</w:t>
      </w:r>
      <w:r w:rsidR="00F02C58">
        <w:t xml:space="preserve"> would</w:t>
      </w:r>
      <w:r w:rsidR="002A2F6A">
        <w:t xml:space="preserve"> include the ability to address issues of human meaning</w:t>
      </w:r>
      <w:r w:rsidR="0052374E">
        <w:t xml:space="preserve"> </w:t>
      </w:r>
      <w:r w:rsidR="00A23112">
        <w:t xml:space="preserve">– </w:t>
      </w:r>
      <w:r w:rsidR="002A2F6A">
        <w:t xml:space="preserve"> </w:t>
      </w:r>
      <w:r w:rsidR="00DF13F8">
        <w:t xml:space="preserve">represented by the </w:t>
      </w:r>
      <w:r w:rsidR="002B045C">
        <w:t>theme of the</w:t>
      </w:r>
      <w:r w:rsidR="00DF13F8">
        <w:t xml:space="preserve"> </w:t>
      </w:r>
      <w:r w:rsidR="002A2F6A">
        <w:t>spirit</w:t>
      </w:r>
      <w:r w:rsidR="002B045C">
        <w:t>ual</w:t>
      </w:r>
      <w:r w:rsidR="00DF13F8">
        <w:t xml:space="preserve"> in</w:t>
      </w:r>
      <w:r w:rsidR="00783768">
        <w:t xml:space="preserve"> </w:t>
      </w:r>
      <w:r w:rsidR="00783768" w:rsidRPr="00783768">
        <w:rPr>
          <w:i/>
          <w:iCs/>
        </w:rPr>
        <w:t>Nga Wha</w:t>
      </w:r>
      <w:r w:rsidR="00A56CBF">
        <w:rPr>
          <w:i/>
          <w:iCs/>
        </w:rPr>
        <w:t>r</w:t>
      </w:r>
      <w:r w:rsidR="00783768" w:rsidRPr="00783768">
        <w:rPr>
          <w:i/>
          <w:iCs/>
        </w:rPr>
        <w:t>e Tapa Wh</w:t>
      </w:r>
      <w:r w:rsidR="00783768" w:rsidRPr="00783768">
        <w:rPr>
          <w:rFonts w:cs="Calibri"/>
          <w:i/>
          <w:iCs/>
        </w:rPr>
        <w:t>ā</w:t>
      </w:r>
      <w:r w:rsidR="002A2F6A">
        <w:t xml:space="preserve"> – and a holistic understanding of the person (the patient) in their context of family</w:t>
      </w:r>
      <w:r w:rsidR="00A23112">
        <w:t>,</w:t>
      </w:r>
      <w:r w:rsidR="002A2F6A">
        <w:t xml:space="preserve"> and community</w:t>
      </w:r>
      <w:r w:rsidR="00B738E1">
        <w:t>.</w:t>
      </w:r>
      <w:r w:rsidR="002A2F6A">
        <w:t xml:space="preserve"> </w:t>
      </w:r>
      <w:r w:rsidR="00C86817">
        <w:t>I</w:t>
      </w:r>
      <w:r w:rsidR="002A2F6A">
        <w:t xml:space="preserve">t is </w:t>
      </w:r>
      <w:r w:rsidR="00E31442">
        <w:t xml:space="preserve">surely </w:t>
      </w:r>
      <w:r w:rsidR="002A2F6A">
        <w:t xml:space="preserve">important </w:t>
      </w:r>
      <w:r w:rsidR="005A2E21">
        <w:t xml:space="preserve">though </w:t>
      </w:r>
      <w:r w:rsidR="002A2F6A">
        <w:t>that using these frameworks</w:t>
      </w:r>
      <w:r w:rsidR="00E31442">
        <w:t xml:space="preserve"> would</w:t>
      </w:r>
      <w:r w:rsidR="002A2F6A">
        <w:t xml:space="preserve"> not occlude the need for robust evidence and precision in meaning. </w:t>
      </w:r>
    </w:p>
    <w:p w14:paraId="5C1EFE7A" w14:textId="40241CAF" w:rsidR="00D3169E" w:rsidRPr="00A85E66" w:rsidRDefault="00327963" w:rsidP="00885484">
      <w:pPr>
        <w:rPr>
          <w:i/>
          <w:iCs/>
        </w:rPr>
      </w:pPr>
      <w:r>
        <w:lastRenderedPageBreak/>
        <w:t>P</w:t>
      </w:r>
      <w:r w:rsidR="002A2F6A" w:rsidRPr="009B2D91">
        <w:t xml:space="preserve">resenting the guide in the format of </w:t>
      </w:r>
      <w:r w:rsidR="00B738E1">
        <w:t>Dr</w:t>
      </w:r>
      <w:r w:rsidR="002A2F6A" w:rsidRPr="009B2D91">
        <w:t xml:space="preserve"> </w:t>
      </w:r>
      <w:r w:rsidR="00E31442">
        <w:t xml:space="preserve">Durie’s </w:t>
      </w:r>
      <w:r w:rsidR="00A42A1D">
        <w:t>schema</w:t>
      </w:r>
      <w:r w:rsidR="002A2F6A" w:rsidRPr="009B2D91">
        <w:t xml:space="preserve"> does present some challenges</w:t>
      </w:r>
      <w:r w:rsidR="00D3169E">
        <w:t xml:space="preserve">. It is not a model intended for the creation of </w:t>
      </w:r>
      <w:r w:rsidR="002A2F6A">
        <w:t>evidence</w:t>
      </w:r>
      <w:r w:rsidR="0070169D">
        <w:t>-</w:t>
      </w:r>
      <w:r w:rsidR="002A2F6A">
        <w:t>based guidelines</w:t>
      </w:r>
      <w:r w:rsidR="00D3169E">
        <w:t>.</w:t>
      </w:r>
      <w:r w:rsidR="002A2F6A" w:rsidRPr="009B2D91">
        <w:t xml:space="preserve"> It makes for an idiosyncr</w:t>
      </w:r>
      <w:r w:rsidR="002A2F6A" w:rsidRPr="00D216E0">
        <w:t xml:space="preserve">atic structure </w:t>
      </w:r>
      <w:r w:rsidR="00D3169E">
        <w:t>that is</w:t>
      </w:r>
      <w:r w:rsidR="002A2F6A" w:rsidRPr="00D216E0">
        <w:t xml:space="preserve"> not well sign-posted</w:t>
      </w:r>
      <w:r w:rsidR="006F2E1E">
        <w:t>. It</w:t>
      </w:r>
      <w:r w:rsidR="00D3169E">
        <w:t xml:space="preserve"> </w:t>
      </w:r>
      <w:r w:rsidR="00637E70">
        <w:t>allows</w:t>
      </w:r>
      <w:r w:rsidR="00D3169E">
        <w:t xml:space="preserve"> internal contradictions</w:t>
      </w:r>
      <w:r w:rsidR="006F2E1E">
        <w:t xml:space="preserve"> </w:t>
      </w:r>
      <w:r w:rsidR="00F02C58">
        <w:t>to</w:t>
      </w:r>
      <w:r w:rsidR="006F2E1E">
        <w:t xml:space="preserve"> </w:t>
      </w:r>
      <w:r w:rsidR="00343752">
        <w:t xml:space="preserve">remain </w:t>
      </w:r>
      <w:r w:rsidR="00877ED3">
        <w:t xml:space="preserve">invisible and thus </w:t>
      </w:r>
      <w:r w:rsidR="00343752">
        <w:t xml:space="preserve">unaddressed. </w:t>
      </w:r>
      <w:r w:rsidR="001B4B75">
        <w:t>For example</w:t>
      </w:r>
      <w:r w:rsidR="001C5BAB">
        <w:t xml:space="preserve"> the mental health information in the PATHA guideline is contained under multiple headings with parts of the full picture revealed piecemeal.</w:t>
      </w:r>
      <w:r w:rsidR="001B4B75">
        <w:t xml:space="preserve"> </w:t>
      </w:r>
      <w:r w:rsidR="001C5BAB">
        <w:t xml:space="preserve">In another example </w:t>
      </w:r>
      <w:r w:rsidR="0010533D">
        <w:t>the information that ‘</w:t>
      </w:r>
      <w:r w:rsidR="0010533D">
        <w:rPr>
          <w:i/>
        </w:rPr>
        <w:t>some previously gender-expansive children may shift along the gender spectrum to find their gender identity more aligned with the sex assigned at birth</w:t>
      </w:r>
      <w:r w:rsidR="0010533D">
        <w:t xml:space="preserve">’ </w:t>
      </w:r>
      <w:r w:rsidR="003A23C1">
        <w:t>(i</w:t>
      </w:r>
      <w:r w:rsidR="0096758D">
        <w:t xml:space="preserve">n the young people section of the family </w:t>
      </w:r>
      <w:r w:rsidR="00465AE1">
        <w:t>section</w:t>
      </w:r>
      <w:r w:rsidR="003A23C1">
        <w:t>)</w:t>
      </w:r>
      <w:r w:rsidR="00E268ED">
        <w:t xml:space="preserve"> </w:t>
      </w:r>
      <w:r w:rsidR="00D24ED2">
        <w:t>is</w:t>
      </w:r>
      <w:r w:rsidR="00E268ED">
        <w:t xml:space="preserve"> separated</w:t>
      </w:r>
      <w:r w:rsidR="0096758D">
        <w:t xml:space="preserve"> from both </w:t>
      </w:r>
      <w:r w:rsidR="00E268ED">
        <w:t xml:space="preserve">information about </w:t>
      </w:r>
      <w:r w:rsidR="001B4B75">
        <w:t xml:space="preserve">social transition </w:t>
      </w:r>
      <w:r w:rsidR="0021579C">
        <w:t>(</w:t>
      </w:r>
      <w:r w:rsidR="001B4B75">
        <w:t>in the section on spiritual health</w:t>
      </w:r>
      <w:r w:rsidR="0021579C">
        <w:t>)</w:t>
      </w:r>
      <w:r w:rsidR="001B4B75">
        <w:t xml:space="preserve"> </w:t>
      </w:r>
      <w:r w:rsidR="0096758D">
        <w:t xml:space="preserve">and from </w:t>
      </w:r>
      <w:r w:rsidR="001B4B75">
        <w:t xml:space="preserve">the section </w:t>
      </w:r>
      <w:r w:rsidR="00A84BD7">
        <w:t xml:space="preserve">on </w:t>
      </w:r>
      <w:r w:rsidR="0096758D">
        <w:t>puberty blockers (in the section on physical health)</w:t>
      </w:r>
      <w:r w:rsidR="00CD4382">
        <w:t xml:space="preserve">.  This prevents </w:t>
      </w:r>
      <w:r w:rsidR="00C00573">
        <w:t xml:space="preserve">the iatrogenic impacts of </w:t>
      </w:r>
      <w:r w:rsidR="00FD5B93">
        <w:t>social transition and</w:t>
      </w:r>
      <w:r w:rsidR="00141AE3">
        <w:t xml:space="preserve"> </w:t>
      </w:r>
      <w:r w:rsidR="00FD5B93">
        <w:t xml:space="preserve">puberty blockers </w:t>
      </w:r>
      <w:r w:rsidR="00E92130">
        <w:t>from being seen clearly</w:t>
      </w:r>
      <w:r w:rsidR="000A25C4">
        <w:t>. As mentioned above</w:t>
      </w:r>
      <w:r w:rsidR="003A2118">
        <w:t>,</w:t>
      </w:r>
      <w:r w:rsidR="00D501EE">
        <w:t xml:space="preserve"> without treatment many </w:t>
      </w:r>
      <w:r w:rsidR="00C00573">
        <w:t>would have resolved their gender confusion</w:t>
      </w:r>
      <w:r w:rsidR="001C5BAB">
        <w:t>. Recent commentary from</w:t>
      </w:r>
      <w:r w:rsidR="00471B93">
        <w:t xml:space="preserve"> </w:t>
      </w:r>
      <w:r w:rsidR="00344877">
        <w:t xml:space="preserve">WPATH’s principal clinicians and </w:t>
      </w:r>
      <w:r w:rsidR="00BB4911">
        <w:t>a</w:t>
      </w:r>
      <w:r w:rsidR="005D00D8">
        <w:t xml:space="preserve"> recent B</w:t>
      </w:r>
      <w:r w:rsidR="00EF51A6">
        <w:t xml:space="preserve">ritish </w:t>
      </w:r>
      <w:r w:rsidR="005D00D8">
        <w:t>M</w:t>
      </w:r>
      <w:r w:rsidR="00EF51A6">
        <w:t xml:space="preserve">edical </w:t>
      </w:r>
      <w:r w:rsidR="005D00D8">
        <w:t>J</w:t>
      </w:r>
      <w:r w:rsidR="00EF51A6">
        <w:t>ournal</w:t>
      </w:r>
      <w:r w:rsidR="005D00D8">
        <w:t xml:space="preserve"> </w:t>
      </w:r>
      <w:r w:rsidR="00AE7544">
        <w:t xml:space="preserve">editorial </w:t>
      </w:r>
      <w:r w:rsidR="00BB4911">
        <w:t>attest</w:t>
      </w:r>
      <w:r w:rsidR="00EF51A6">
        <w:t xml:space="preserve"> to this</w:t>
      </w:r>
      <w:r w:rsidR="00D24ED2">
        <w:t xml:space="preserve"> iatrogenic effect of overmedicalisation by puberty blockers</w:t>
      </w:r>
      <w:r w:rsidR="004663B1">
        <w:t>.</w:t>
      </w:r>
      <w:r w:rsidR="00A23112">
        <w:t xml:space="preserve"> </w:t>
      </w:r>
      <w:r w:rsidR="00AD63C6">
        <w:fldChar w:fldCharType="begin"/>
      </w:r>
      <w:r w:rsidR="003F09D0">
        <w:instrText xml:space="preserve"> ADDIN ZOTERO_ITEM CSL_CITATION {"citationID":"kd9j6tPx","properties":{"formattedCitation":"(Abbasi, 2023; Shrier, 2021)","plainCitation":"(Abbasi, 2023; Shrier, 2021)","noteIndex":0},"citationItems":[{"id":11774,"uris":["http://zotero.org/groups/4882545/items/RNVRXTRR"],"itemData":{"id":11774,"type":"article-journal","abstract":"The debate on gender dysphoria perfectly captures all that is unsavoury about the intersection of science, medicine, and social media. Entrenched, even aggressively argued views are nothing new in science and medicine. But when it comes to gender dysphoria, just as with covid-19, there is little room for constructive dialogue. Unfortunately, what suffers is people’s welfare.\n\nThe priority for health professionals must be to offer the best possible care to their patients. Difficulties arise when the evidence base is preliminary or inconclusive. In that situation, when faced with a person seeking care, what is the best care to offer?\n\nThe dilemma is more acute if the person seeking care is a child or adolescent. This is the complex and difficult challenge that specialists …","container-title":"BMJ","DOI":"10.1136/bmj.p553","ISSN":"1756-1833","journalAbbreviation":"BMJ","language":"en","license":"Published by the BMJ Publishing Group Limited. For permission to use (where not already granted under a licence) please go to http://group.bmj.com/group/rights-licensing/permissions","note":"publisher: British Medical Journal Publishing Group\nsection: Editor's Choice","page":"p553","source":"www.bmj.com","title":"Caring for young people with gender dysphoria","URL":"https://www.bmj.com/content/380/bmj.p553","volume":"380","author":[{"family":"Abbasi","given":"Kamran"}],"accessed":{"date-parts":[["2023",7,19]]},"issued":{"date-parts":[["2023",3,9]]}}},{"id":11671,"uris":["http://zotero.org/groups/4882545/items/236J7PAM"],"itemData":{"id":11671,"type":"article-newspaper","abstract":"In exclusive interviews, two prominent providers sound off on puberty blockers, 'affirmative' care, the inhibition of sexual pleasure, and the suppression of dissent in their field.","container-title":"The Free Press","language":"en","title":"Top Trans Doctors Blow the Whistle on ‘Sloppy’ Care","URL":"https://www.thefp.com/p/top-trans-doctors-blow-the-whistle","author":[{"family":"Shrier","given":"Abigail"}],"accessed":{"date-parts":[["2023",7,11]]},"issued":{"date-parts":[["2021",10,4]]}}}],"schema":"https://github.com/citation-style-language/schema/raw/master/csl-citation.json"} </w:instrText>
      </w:r>
      <w:r w:rsidR="00AD63C6">
        <w:fldChar w:fldCharType="separate"/>
      </w:r>
      <w:r w:rsidR="003F09D0" w:rsidRPr="003F09D0">
        <w:rPr>
          <w:rFonts w:cs="Calibri"/>
        </w:rPr>
        <w:t>(Abbasi, 2023; Shrier, 2021)</w:t>
      </w:r>
      <w:r w:rsidR="00AD63C6">
        <w:fldChar w:fldCharType="end"/>
      </w:r>
      <w:r w:rsidR="00A23112">
        <w:t>.</w:t>
      </w:r>
      <w:r w:rsidR="00A23112">
        <w:tab/>
      </w:r>
    </w:p>
    <w:p w14:paraId="233BF51F" w14:textId="40228A9C" w:rsidR="00CA0ECA" w:rsidRDefault="000E4D9D" w:rsidP="00885484">
      <w:pPr>
        <w:rPr>
          <w:i/>
        </w:rPr>
      </w:pPr>
      <w:r>
        <w:t xml:space="preserve">Another problem is whether the chosen models have been applied correctly. </w:t>
      </w:r>
      <w:r w:rsidR="00AD06F2">
        <w:t xml:space="preserve"> </w:t>
      </w:r>
      <w:r w:rsidR="005125E1">
        <w:t>The use of e</w:t>
      </w:r>
      <w:r>
        <w:t>lement</w:t>
      </w:r>
      <w:r w:rsidR="00B47366">
        <w:t>s</w:t>
      </w:r>
      <w:r>
        <w:t xml:space="preserve"> of </w:t>
      </w:r>
      <w:r>
        <w:rPr>
          <w:i/>
          <w:iCs/>
        </w:rPr>
        <w:t xml:space="preserve">Te Pae Māhutonga, </w:t>
      </w:r>
      <w:r>
        <w:t xml:space="preserve">intended as a health communications and public health tool, </w:t>
      </w:r>
      <w:r w:rsidR="004D1214">
        <w:t>appear to be opportunistic</w:t>
      </w:r>
      <w:r>
        <w:t xml:space="preserve">. The feature </w:t>
      </w:r>
      <w:r w:rsidR="001B66CC">
        <w:t>associated with</w:t>
      </w:r>
      <w:r w:rsidR="005C1F73">
        <w:t xml:space="preserve"> </w:t>
      </w:r>
      <w:r w:rsidR="003A2E32">
        <w:t xml:space="preserve">giving </w:t>
      </w:r>
      <w:r w:rsidR="00FD631D">
        <w:t xml:space="preserve">priority to the demands of </w:t>
      </w:r>
      <w:r w:rsidR="005C1F73">
        <w:t>community leadership has been described above</w:t>
      </w:r>
      <w:r w:rsidR="00994A84">
        <w:t xml:space="preserve">. Another </w:t>
      </w:r>
      <w:r w:rsidR="006B6E93">
        <w:t xml:space="preserve">element associated </w:t>
      </w:r>
      <w:r w:rsidR="003316E3">
        <w:t xml:space="preserve">with </w:t>
      </w:r>
      <w:r w:rsidR="00D74227">
        <w:t>a</w:t>
      </w:r>
      <w:r>
        <w:t xml:space="preserve"> pointer star of the Southern Cross </w:t>
      </w:r>
      <w:r>
        <w:rPr>
          <w:i/>
          <w:iCs/>
        </w:rPr>
        <w:t>‘which has the theme</w:t>
      </w:r>
      <w:r w:rsidR="00B47366">
        <w:rPr>
          <w:i/>
          <w:iCs/>
        </w:rPr>
        <w:t>s</w:t>
      </w:r>
      <w:r>
        <w:rPr>
          <w:i/>
          <w:iCs/>
        </w:rPr>
        <w:t xml:space="preserve"> of autonomy or Te Mana Whakahaere’ </w:t>
      </w:r>
      <w:r w:rsidR="00192021" w:rsidRPr="00156A4A">
        <w:t>which</w:t>
      </w:r>
      <w:r w:rsidR="00192021">
        <w:rPr>
          <w:i/>
          <w:iCs/>
        </w:rPr>
        <w:t xml:space="preserve"> </w:t>
      </w:r>
      <w:r w:rsidR="00192021">
        <w:t>t</w:t>
      </w:r>
      <w:r>
        <w:t xml:space="preserve">he PATHA Guideline </w:t>
      </w:r>
      <w:r w:rsidR="00D23EA9">
        <w:t>says</w:t>
      </w:r>
      <w:r>
        <w:t xml:space="preserve"> means ‘</w:t>
      </w:r>
      <w:r>
        <w:rPr>
          <w:i/>
          <w:iCs/>
        </w:rPr>
        <w:t xml:space="preserve">the principle of trans people’s autonomy of their own bodies, represented by healthcare provision based on informed consent.’ </w:t>
      </w:r>
      <w:r>
        <w:t>It is far from clear though</w:t>
      </w:r>
      <w:r w:rsidR="00A37B13">
        <w:t>,</w:t>
      </w:r>
      <w:r>
        <w:t xml:space="preserve"> </w:t>
      </w:r>
      <w:r w:rsidR="00FD631D">
        <w:t>the model</w:t>
      </w:r>
      <w:r>
        <w:t xml:space="preserve"> was ever intended to be used to justify the demands that individuals should be able to make of the health system </w:t>
      </w:r>
      <w:r w:rsidR="001B78C1">
        <w:t xml:space="preserve">for individualised treatment </w:t>
      </w:r>
      <w:r>
        <w:t xml:space="preserve">or that </w:t>
      </w:r>
      <w:r w:rsidR="006E4599">
        <w:t xml:space="preserve">it suggested that </w:t>
      </w:r>
      <w:r>
        <w:t xml:space="preserve">health care should be self-determined and not the subject of clinical diagnosis. </w:t>
      </w:r>
    </w:p>
    <w:p w14:paraId="1779036D" w14:textId="561BE28C" w:rsidR="009910D2" w:rsidRDefault="009910D2" w:rsidP="00885484">
      <w:r>
        <w:t>There is no reason why the CPG material, if it did exist, could not have been incorporate</w:t>
      </w:r>
      <w:r w:rsidR="00A11FE7">
        <w:t>d</w:t>
      </w:r>
      <w:r>
        <w:t xml:space="preserve"> into the Guideline </w:t>
      </w:r>
      <w:r w:rsidR="00A11FE7">
        <w:t xml:space="preserve">irrespective of </w:t>
      </w:r>
      <w:r w:rsidR="00F0292D">
        <w:t>the gu</w:t>
      </w:r>
      <w:r w:rsidR="00597B61">
        <w:t>iding framework</w:t>
      </w:r>
      <w:r w:rsidR="001837F2">
        <w:t>. T</w:t>
      </w:r>
      <w:r>
        <w:t>hat is has not been</w:t>
      </w:r>
      <w:r w:rsidR="001E34BC">
        <w:t>,</w:t>
      </w:r>
      <w:r>
        <w:t xml:space="preserve"> adds </w:t>
      </w:r>
      <w:r w:rsidR="001837F2">
        <w:t xml:space="preserve">additional </w:t>
      </w:r>
      <w:r>
        <w:t xml:space="preserve">doubt that an evidence based approach was </w:t>
      </w:r>
      <w:r w:rsidR="0094045C">
        <w:t>ever</w:t>
      </w:r>
      <w:r>
        <w:t xml:space="preserve"> attempted.  It would be unfortunate if using a kaupapa </w:t>
      </w:r>
      <w:r w:rsidR="003D6C1B">
        <w:t>(metho</w:t>
      </w:r>
      <w:r w:rsidR="005830A2">
        <w:t>d or philosophy)</w:t>
      </w:r>
      <w:r>
        <w:t xml:space="preserve"> M</w:t>
      </w:r>
      <w:r>
        <w:rPr>
          <w:rFonts w:cs="Calibri"/>
        </w:rPr>
        <w:t>ā</w:t>
      </w:r>
      <w:r>
        <w:t xml:space="preserve">ori framework has provided cover for inadequately researched </w:t>
      </w:r>
      <w:r w:rsidR="00D47E8D">
        <w:t>and evidenced medical re</w:t>
      </w:r>
      <w:r w:rsidR="005037E0">
        <w:t>c</w:t>
      </w:r>
      <w:r w:rsidR="00D47E8D">
        <w:t>ommendations.</w:t>
      </w:r>
    </w:p>
    <w:p w14:paraId="2D0798F7" w14:textId="03B95BAF" w:rsidR="00710DE8" w:rsidRDefault="00676E81" w:rsidP="00885484">
      <w:pPr>
        <w:pStyle w:val="Heading2"/>
      </w:pPr>
      <w:bookmarkStart w:id="47" w:name="_Toc145238125"/>
      <w:bookmarkStart w:id="48" w:name="_Toc156044305"/>
      <w:r>
        <w:t>Are gender identities</w:t>
      </w:r>
      <w:r w:rsidR="00710DE8">
        <w:t xml:space="preserve"> indigenous</w:t>
      </w:r>
      <w:r>
        <w:t xml:space="preserve"> to New Zealand</w:t>
      </w:r>
      <w:r w:rsidR="00710DE8">
        <w:t>?</w:t>
      </w:r>
      <w:bookmarkEnd w:id="47"/>
      <w:bookmarkEnd w:id="48"/>
    </w:p>
    <w:p w14:paraId="3357AEDD" w14:textId="06CEF0E0" w:rsidR="002D4B82" w:rsidRDefault="00836FEE" w:rsidP="00885484">
      <w:pPr>
        <w:rPr>
          <w:color w:val="000000"/>
        </w:rPr>
      </w:pPr>
      <w:r>
        <w:t xml:space="preserve">By setting the PATHA Guideline in the context of Te Ao Māori </w:t>
      </w:r>
      <w:r w:rsidR="00906E8D">
        <w:t>(the M</w:t>
      </w:r>
      <w:r w:rsidR="00906E8D">
        <w:rPr>
          <w:rFonts w:cs="Calibri"/>
        </w:rPr>
        <w:t>ā</w:t>
      </w:r>
      <w:r w:rsidR="00906E8D">
        <w:t>ori world)</w:t>
      </w:r>
      <w:r>
        <w:t xml:space="preserve"> it appears to have been i</w:t>
      </w:r>
      <w:r w:rsidR="00B4167D">
        <w:t>m</w:t>
      </w:r>
      <w:r>
        <w:t>portant to support the idea of transgenderism as indigenous. Such proof would therefore be used to demonstrate that it is a longstanding and an unassailable element of NZ Māori culture and</w:t>
      </w:r>
      <w:r w:rsidR="00530A80">
        <w:t xml:space="preserve"> perhaps even</w:t>
      </w:r>
      <w:r>
        <w:t xml:space="preserve"> has standing as a Treaty of Waitangi issue. In the PATHA Guideline </w:t>
      </w:r>
      <w:r w:rsidRPr="0041669F">
        <w:t>section on pre-colonial M</w:t>
      </w:r>
      <w:r>
        <w:t>ā</w:t>
      </w:r>
      <w:r w:rsidRPr="0041669F">
        <w:t>ori society</w:t>
      </w:r>
      <w:r>
        <w:t xml:space="preserve"> the text </w:t>
      </w:r>
      <w:r w:rsidRPr="0041669F">
        <w:t>purports to demonstrate that ‘</w:t>
      </w:r>
      <w:r w:rsidRPr="0041669F">
        <w:rPr>
          <w:i/>
          <w:iCs/>
        </w:rPr>
        <w:t>It is increasingly apparent that, in Aotearoa pre-colonial Māori society, people of diverse genders and sexualities were both accepted and valued within whānau</w:t>
      </w:r>
      <w:r>
        <w:rPr>
          <w:i/>
          <w:iCs/>
        </w:rPr>
        <w:t>’</w:t>
      </w:r>
      <w:r>
        <w:rPr>
          <w:i/>
        </w:rPr>
        <w:t xml:space="preserve"> </w:t>
      </w:r>
      <w:r w:rsidRPr="0041669F">
        <w:t xml:space="preserve">even as </w:t>
      </w:r>
      <w:r>
        <w:t>the</w:t>
      </w:r>
      <w:r w:rsidRPr="0041669F">
        <w:t xml:space="preserve"> cited reference</w:t>
      </w:r>
      <w:r w:rsidR="00A57504">
        <w:t>s</w:t>
      </w:r>
      <w:r w:rsidRPr="0041669F">
        <w:t xml:space="preserve"> </w:t>
      </w:r>
      <w:r>
        <w:t>provide contrasting information. The</w:t>
      </w:r>
      <w:r w:rsidRPr="0041669F">
        <w:t xml:space="preserve"> PhD of Elizabeth Kerekere states categorically that </w:t>
      </w:r>
      <w:r w:rsidRPr="0041669F">
        <w:rPr>
          <w:i/>
          <w:iCs/>
        </w:rPr>
        <w:t>‘there is not yet evidence that Māori had diverse gender identities or that takatāpui played specific roles in pre-colonial times’</w:t>
      </w:r>
      <w:r>
        <w:rPr>
          <w:i/>
        </w:rPr>
        <w:t xml:space="preserve"> </w:t>
      </w:r>
      <w:r w:rsidRPr="0041669F">
        <w:fldChar w:fldCharType="begin"/>
      </w:r>
      <w:r w:rsidR="00E023BF">
        <w:instrText xml:space="preserve"> ADDIN ZOTERO_ITEM CSL_CITATION {"citationID":"pmwRXlgO","properties":{"formattedCitation":"(Kerekere, 2017)","plainCitation":"(Kerekere, 2017)","noteIndex":0},"citationItems":[{"id":1882,"uris":["http://zotero.org/groups/2320358/items/HUGNNBQK"],"itemData":{"id":1882,"type":"report","abstract":"There is not yet evidence that Māori had diverse gender identities or that\ntakatāpui played specific roles in pre-colonial times;","event-place":"Wellington, N.Z.","language":"en","publisher-place":"Wellington, N.Z.","source":"Zotero","title":"Part of The Whānau: The Emergence of Takatāpui Identity","URL":"http://researcharchive.vuw.ac.nz/bitstream/handle/10063/6369/thesis_access.pdf?sequence=1","author":[{"family":"Kerekere","given":"Elizabeth"}],"issued":{"date-parts":[["2017",4]]}}}],"schema":"https://github.com/citation-style-language/schema/raw/master/csl-citation.json"} </w:instrText>
      </w:r>
      <w:r w:rsidRPr="0041669F">
        <w:fldChar w:fldCharType="separate"/>
      </w:r>
      <w:r w:rsidRPr="0041669F">
        <w:rPr>
          <w:rFonts w:cs="Calibri"/>
        </w:rPr>
        <w:t>(Kerekere, 2017)</w:t>
      </w:r>
      <w:r w:rsidRPr="0041669F">
        <w:fldChar w:fldCharType="end"/>
      </w:r>
      <w:r>
        <w:t>. Neither are PATHA’s claims about ‘diverse genders’ substantiated</w:t>
      </w:r>
      <w:r w:rsidR="00204925">
        <w:t xml:space="preserve"> in the other research cited.</w:t>
      </w:r>
      <w:r w:rsidR="00D768C9">
        <w:t xml:space="preserve"> </w:t>
      </w:r>
      <w:r w:rsidR="00A57504">
        <w:t>A</w:t>
      </w:r>
      <w:r>
        <w:t xml:space="preserve"> </w:t>
      </w:r>
      <w:r w:rsidR="00B4167D">
        <w:t xml:space="preserve">close examination of the </w:t>
      </w:r>
      <w:r w:rsidR="00784445">
        <w:t xml:space="preserve">other </w:t>
      </w:r>
      <w:r w:rsidR="00340011">
        <w:rPr>
          <w:color w:val="000000"/>
        </w:rPr>
        <w:t xml:space="preserve">resources cited </w:t>
      </w:r>
      <w:r w:rsidR="00784445">
        <w:rPr>
          <w:color w:val="000000"/>
        </w:rPr>
        <w:t xml:space="preserve">in the </w:t>
      </w:r>
      <w:r w:rsidR="00807B31">
        <w:rPr>
          <w:color w:val="000000"/>
        </w:rPr>
        <w:t xml:space="preserve">PATHA </w:t>
      </w:r>
      <w:r w:rsidR="00784445">
        <w:rPr>
          <w:color w:val="000000"/>
        </w:rPr>
        <w:t>Guideline</w:t>
      </w:r>
      <w:r w:rsidR="00B617E5">
        <w:rPr>
          <w:color w:val="000000"/>
        </w:rPr>
        <w:t>,</w:t>
      </w:r>
      <w:r w:rsidR="00784445">
        <w:rPr>
          <w:color w:val="000000"/>
        </w:rPr>
        <w:t xml:space="preserve"> </w:t>
      </w:r>
      <w:r w:rsidR="004971D4">
        <w:rPr>
          <w:color w:val="000000"/>
        </w:rPr>
        <w:t>in</w:t>
      </w:r>
      <w:r w:rsidR="0006380C">
        <w:rPr>
          <w:color w:val="000000"/>
        </w:rPr>
        <w:t xml:space="preserve"> support of the idea of indigenous gender identities</w:t>
      </w:r>
      <w:r w:rsidR="00B617E5">
        <w:rPr>
          <w:color w:val="000000"/>
        </w:rPr>
        <w:t>,</w:t>
      </w:r>
      <w:r w:rsidR="004971D4">
        <w:rPr>
          <w:color w:val="000000"/>
        </w:rPr>
        <w:t xml:space="preserve"> </w:t>
      </w:r>
      <w:r w:rsidR="000D6AF5">
        <w:rPr>
          <w:color w:val="000000"/>
        </w:rPr>
        <w:t>provides</w:t>
      </w:r>
      <w:r w:rsidR="00AD0A51">
        <w:rPr>
          <w:color w:val="000000"/>
        </w:rPr>
        <w:t xml:space="preserve"> no evidence </w:t>
      </w:r>
      <w:r w:rsidR="00340011">
        <w:rPr>
          <w:color w:val="000000"/>
        </w:rPr>
        <w:t xml:space="preserve">of </w:t>
      </w:r>
      <w:r w:rsidR="003C3B9F">
        <w:rPr>
          <w:color w:val="000000"/>
        </w:rPr>
        <w:t>them</w:t>
      </w:r>
      <w:r w:rsidR="008533E7">
        <w:rPr>
          <w:color w:val="000000"/>
        </w:rPr>
        <w:t>.</w:t>
      </w:r>
      <w:r w:rsidR="00EA3ABE">
        <w:rPr>
          <w:color w:val="000000"/>
        </w:rPr>
        <w:fldChar w:fldCharType="begin"/>
      </w:r>
      <w:r w:rsidR="00B617E5">
        <w:rPr>
          <w:color w:val="000000"/>
        </w:rPr>
        <w:instrText xml:space="preserve"> ADDIN ZOTERO_ITEM CSL_CITATION {"citationID":"ShVt812O","properties":{"formattedCitation":"(Salmond, 2017; Te Awekotuku, 1996)","plainCitation":"(Salmond, 2017; Te Awekotuku, 1996)","noteIndex":0},"citationItems":[{"id":11915,"uris":["http://zotero.org/groups/4882545/items/CNNLIXE3"],"itemData":{"id":11915,"type":"book","publisher":"Auckland University Press","title":"Tears of Rangi : experiments across worlds","author":[{"family":"Salmond","given":"Anne"}],"issued":{"date-parts":[["2017"]]}}},{"id":11914,"uris":["http://zotero.org/groups/4882545/items/SEC8VG3D"],"itemData":{"id":11914,"type":"chapter","abstract":"No evidence of gender identities","container-title":"Māori: People and culture.","title":"Māori: People and culture.","author":[{"family":"Te Awekotuku","given":"Ngahuia"}],"issued":{"date-parts":[["1996"]]}}}],"schema":"https://github.com/citation-style-language/schema/raw/master/csl-citation.json"} </w:instrText>
      </w:r>
      <w:r w:rsidR="00EA3ABE">
        <w:rPr>
          <w:color w:val="000000"/>
        </w:rPr>
        <w:fldChar w:fldCharType="separate"/>
      </w:r>
      <w:r w:rsidR="00B617E5" w:rsidRPr="00B617E5">
        <w:rPr>
          <w:rFonts w:cs="Calibri"/>
        </w:rPr>
        <w:t>(Salmond, 2017; Te Awekotuku, 1996)</w:t>
      </w:r>
      <w:r w:rsidR="00EA3ABE">
        <w:rPr>
          <w:color w:val="000000"/>
        </w:rPr>
        <w:fldChar w:fldCharType="end"/>
      </w:r>
    </w:p>
    <w:p w14:paraId="75947BB3" w14:textId="4A98C605" w:rsidR="00416A03" w:rsidRDefault="00710DE8" w:rsidP="00885484">
      <w:r>
        <w:t>W</w:t>
      </w:r>
      <w:r w:rsidR="007E10BC" w:rsidRPr="009D0FF6">
        <w:t xml:space="preserve">hile </w:t>
      </w:r>
      <w:r w:rsidR="00676E81">
        <w:t>it appears</w:t>
      </w:r>
      <w:r w:rsidR="007E10BC" w:rsidRPr="009D0FF6">
        <w:t xml:space="preserve"> </w:t>
      </w:r>
      <w:r w:rsidR="00676E81">
        <w:t xml:space="preserve">there </w:t>
      </w:r>
      <w:r w:rsidR="007E10BC" w:rsidRPr="009D0FF6">
        <w:t>are no New Zealand data on indigeneity and gender transition</w:t>
      </w:r>
      <w:r w:rsidR="008F2BC3" w:rsidRPr="009D0FF6">
        <w:t>,</w:t>
      </w:r>
      <w:r w:rsidR="007E10BC" w:rsidRPr="009D0FF6">
        <w:t xml:space="preserve"> there are strong values in Te Ao Māori related to holistic approaches. </w:t>
      </w:r>
      <w:r w:rsidR="00A138CE" w:rsidRPr="009D0FF6">
        <w:t>T</w:t>
      </w:r>
      <w:r w:rsidR="001B3160" w:rsidRPr="009D0FF6">
        <w:t xml:space="preserve">he main </w:t>
      </w:r>
      <w:r w:rsidR="00A138CE" w:rsidRPr="009D0FF6">
        <w:t>groups</w:t>
      </w:r>
      <w:r w:rsidR="001B3160" w:rsidRPr="009D0FF6">
        <w:t xml:space="preserve"> who seek transgender care </w:t>
      </w:r>
      <w:r w:rsidR="005037E0">
        <w:t>do not appear</w:t>
      </w:r>
      <w:r w:rsidR="00DC3629">
        <w:t xml:space="preserve"> </w:t>
      </w:r>
      <w:r w:rsidR="005037E0">
        <w:t xml:space="preserve">to be </w:t>
      </w:r>
      <w:r w:rsidR="00E9372E" w:rsidRPr="009D0FF6">
        <w:t>predominantly</w:t>
      </w:r>
      <w:r w:rsidR="00DC3629">
        <w:t xml:space="preserve"> </w:t>
      </w:r>
      <w:r w:rsidR="001B3160" w:rsidRPr="009D0FF6">
        <w:t>Māori</w:t>
      </w:r>
      <w:r w:rsidR="00B85FC0" w:rsidRPr="009D0FF6">
        <w:t>.</w:t>
      </w:r>
      <w:r w:rsidR="001B3160" w:rsidRPr="009D0FF6">
        <w:t xml:space="preserve"> </w:t>
      </w:r>
      <w:r w:rsidR="00500FDE">
        <w:t xml:space="preserve">If New Zealand </w:t>
      </w:r>
      <w:r w:rsidR="000D6AF5">
        <w:t xml:space="preserve">is </w:t>
      </w:r>
      <w:r w:rsidR="00500FDE">
        <w:t>follow</w:t>
      </w:r>
      <w:r w:rsidR="000D6AF5">
        <w:t>ing</w:t>
      </w:r>
      <w:r w:rsidR="00500FDE">
        <w:t xml:space="preserve"> the overseas experience i</w:t>
      </w:r>
      <w:r w:rsidR="00676E81">
        <w:t>t</w:t>
      </w:r>
      <w:r w:rsidR="00DA23DE" w:rsidRPr="009D0FF6">
        <w:t xml:space="preserve"> appears </w:t>
      </w:r>
      <w:r w:rsidR="005B1DF8" w:rsidRPr="009D0FF6">
        <w:t xml:space="preserve">likely </w:t>
      </w:r>
      <w:r w:rsidR="00500FDE">
        <w:t xml:space="preserve">that </w:t>
      </w:r>
      <w:r w:rsidR="00BC12B0">
        <w:t xml:space="preserve">the predominantly </w:t>
      </w:r>
      <w:r w:rsidR="00F45833" w:rsidRPr="009D0FF6">
        <w:t xml:space="preserve">young people seeking </w:t>
      </w:r>
      <w:r w:rsidR="00814FBF" w:rsidRPr="009D0FF6">
        <w:t xml:space="preserve">gender medicine are </w:t>
      </w:r>
      <w:r w:rsidR="00CA6169">
        <w:t>overwhelmingly</w:t>
      </w:r>
      <w:r w:rsidR="00AD4A98">
        <w:t xml:space="preserve"> </w:t>
      </w:r>
      <w:r w:rsidR="00500FDE">
        <w:t xml:space="preserve">likely to be </w:t>
      </w:r>
      <w:r w:rsidR="009F6BE6" w:rsidRPr="009D0FF6">
        <w:t xml:space="preserve">predominantly </w:t>
      </w:r>
      <w:r w:rsidR="00814FBF" w:rsidRPr="009D0FF6">
        <w:t>European and middle class</w:t>
      </w:r>
      <w:r w:rsidR="00B85FC0" w:rsidRPr="009D0FF6">
        <w:t>.</w:t>
      </w:r>
      <w:r w:rsidR="00E5416C" w:rsidRPr="009D0FF6">
        <w:fldChar w:fldCharType="begin"/>
      </w:r>
      <w:r w:rsidR="00D229C9" w:rsidRPr="009D0FF6">
        <w:instrText xml:space="preserve"> ADDIN ZOTERO_ITEM CSL_CITATION {"citationID":"giYqhunL","properties":{"formattedCitation":"(Manjra et al., 2022)","plainCitation":"(Manjra et al., 2022)","dontUpdate":true,"noteIndex":0},"citationItems":[{"id":11702,"uris":["http://zotero.org/groups/4882545/items/FP9E6CU6"],"itemData":{"id":11702,"type":"article-journal","abstract":"Objectives\nGender service utilisation according to ethnicity is largely under-researched. The present research looked at demographics and service user-engagement according to ethnicity of young people accessing a gender service for children.\nMethod\nA total of 2063 (M = 14.19 years, SD = 2.59, assigned male = 556, 1495 assigned female = 1495, no-specification=12) referrals were included in the analysis. Self-defined ethnicity in financial years (FY) 2016–2017, 2018–2019, and referrer-defined ethnicity in FY 2020–2021 were compared between years, to the national UK-population, and child and adolescent mental health service (CAMHS) averages. Numbers of offered, attended and non-attended appointments were compared across the White and the ethnic minority population (EMP).\nResults\nAcross years 93.35% young people identified as White (higher than the CAMHS and national population averages); 6.65% as EMP. Service utilisation was similar in FY 2016–2017. In FY 2018–2019, the EMP subgroup was offered and attended more appointments compared to the White subgroup, ‘did not attended’ average was similar.\nConclusions\nThe majority of young people self-identified with a White ethnic-background. Service engagement was comparable between the EMP and White ethnicity subgroups in 2016–2017, while the EMP group was offered and attended more appointments in 2018–2019. Due to the low EMP group numbers, findings need to be interpreted with caution.","container-title":"Clinical Child Psychology and Psychiatry","DOI":"10.1177/13591045221102650","ISSN":"1359-1045","issue":"4","journalAbbreviation":"Clin Child Psychol Psychiatry","language":"en","note":"publisher: SAGE Publications Ltd","page":"1091-1105","source":"SAGE Journals","title":"Service user engagement by ethnicity groups at a children’s gender identity service in the UK","URL":"https://doi.org/10.1177/13591045221102650","volume":"27","author":[{"family":"Manjra","given":"Ilham I"},{"family":"Russell","given":"Ian"},{"family":"Maninger","given":"Johanna K"},{"family":"Masic","given":"Una"}],"accessed":{"date-parts":[["2023",7,12]]},"issued":{"date-parts":[["2022",10,1]]}}}],"schema":"https://github.com/citation-style-language/schema/raw/master/csl-citation.json"} </w:instrText>
      </w:r>
      <w:r w:rsidR="00E5416C" w:rsidRPr="009D0FF6">
        <w:fldChar w:fldCharType="separate"/>
      </w:r>
      <w:r w:rsidR="00E5416C" w:rsidRPr="009D0FF6">
        <w:t>(</w:t>
      </w:r>
      <w:r w:rsidR="008F2BC3" w:rsidRPr="009D0FF6">
        <w:t xml:space="preserve">Littman, 2018; </w:t>
      </w:r>
      <w:r w:rsidR="00E5416C" w:rsidRPr="009D0FF6">
        <w:t>Manjra et al., 2022)</w:t>
      </w:r>
      <w:r w:rsidR="00E5416C" w:rsidRPr="009D0FF6">
        <w:fldChar w:fldCharType="end"/>
      </w:r>
      <w:r w:rsidR="00814FBF" w:rsidRPr="009D0FF6">
        <w:t xml:space="preserve"> </w:t>
      </w:r>
      <w:r w:rsidR="000B39A2" w:rsidRPr="009D0FF6">
        <w:t xml:space="preserve">Anecdotal </w:t>
      </w:r>
      <w:r w:rsidR="0052374E" w:rsidRPr="009D0FF6">
        <w:t xml:space="preserve">evidence </w:t>
      </w:r>
      <w:r w:rsidR="00DD48D3" w:rsidRPr="009D0FF6">
        <w:t>from</w:t>
      </w:r>
      <w:r w:rsidR="00511C19">
        <w:t xml:space="preserve"> New Zealand</w:t>
      </w:r>
      <w:r w:rsidR="00DD48D3" w:rsidRPr="009D0FF6">
        <w:t xml:space="preserve"> t</w:t>
      </w:r>
      <w:r w:rsidR="000B39A2" w:rsidRPr="009D0FF6">
        <w:t xml:space="preserve">eachers and clinicians </w:t>
      </w:r>
      <w:r w:rsidR="00DD48D3" w:rsidRPr="009D0FF6">
        <w:t xml:space="preserve">accords with this </w:t>
      </w:r>
      <w:r w:rsidR="00200D4A" w:rsidRPr="009D0FF6">
        <w:t>assessment</w:t>
      </w:r>
      <w:r w:rsidR="000B39A2" w:rsidRPr="009D0FF6">
        <w:t xml:space="preserve">. </w:t>
      </w:r>
      <w:r w:rsidR="00B10DFB" w:rsidRPr="009D0FF6">
        <w:t xml:space="preserve">From the commentary that </w:t>
      </w:r>
      <w:r w:rsidR="0018481A" w:rsidRPr="009D0FF6">
        <w:t xml:space="preserve">is available </w:t>
      </w:r>
      <w:r w:rsidR="003114FC" w:rsidRPr="009D0FF6">
        <w:t xml:space="preserve">it seems that </w:t>
      </w:r>
      <w:r w:rsidR="0093735F" w:rsidRPr="009D0FF6">
        <w:t>gender transition</w:t>
      </w:r>
      <w:r w:rsidR="001A330E" w:rsidRPr="009D0FF6">
        <w:t xml:space="preserve"> </w:t>
      </w:r>
      <w:r w:rsidR="00660238" w:rsidRPr="009D0FF6">
        <w:t>is</w:t>
      </w:r>
      <w:r w:rsidR="00C73230" w:rsidRPr="009D0FF6">
        <w:t xml:space="preserve"> antithetical to the views of m</w:t>
      </w:r>
      <w:r w:rsidR="008F2BC3" w:rsidRPr="009D0FF6">
        <w:t xml:space="preserve">any </w:t>
      </w:r>
      <w:r w:rsidR="00C73230" w:rsidRPr="009D0FF6">
        <w:t>Māori</w:t>
      </w:r>
      <w:r w:rsidR="00C6455E" w:rsidRPr="009D0FF6">
        <w:t>.</w:t>
      </w:r>
      <w:r w:rsidR="00BC3FC5" w:rsidRPr="009D0FF6">
        <w:fldChar w:fldCharType="begin"/>
      </w:r>
      <w:r w:rsidR="00772DBF" w:rsidRPr="009D0FF6">
        <w:instrText xml:space="preserve"> ADDIN ZOTERO_ITEM CSL_CITATION {"citationID":"GdQQFxfS","properties":{"formattedCitation":"(Landy, 2023; Mana W\\uc0\\u257{}hine K\\uc0\\u333{}rero, 2023)","plainCitation":"(Landy, 2023; Mana Wāhine Kōrero, 2023)","noteIndex":0},"citationItems":[{"id":11117,"uris":["http://zotero.org/groups/2320358/items/SJRS3KAW"],"itemData":{"id":11117,"type":"article-magazine","abstract":"Around the world, trans activists are cynically attempting to drape their faddish colonial theories in the garb of timeless Indigenous wisdom.","container-title":"Quillette","language":"en","title":"Fictionalizing Māori History in the Name of Gender Ideology","URL":"https://quillette.com/2023/05/04/fictionalizing-indigenous-history-in-the-name-of-gender-activism/","author":[{"family":"Landy","given":"Dianne"}],"accessed":{"date-parts":[["2023",5,5]]},"issued":{"date-parts":[["2023",5,4]]}}},{"id":10980,"uris":["http://zotero.org/groups/4882545/items/7A6DV7SB"],"itemData":{"id":10980,"type":"post-weblog","abstract":"Mana Wāhine Kōrero vehemently opposes this rewriting of our culture, our language, and our history. If allowed to progress, this wave of colonisation (for that is what Western ideas about sterilising children are) is the wave we will not survive.","container-title":"Plain Sight","language":"en-US","title":"Mana Wāhine Kōrero Response to (now deleted) Stuff article Vs. Sean Plunket - Plain Sight - Mana Wāhine Kōrero","URL":"https://plainsight.nz/?p=732","author":[{"family":"Mana Wāhine Kōrero","given":"Mana Wāhine"}],"accessed":{"date-parts":[["2023",4,13]]},"issued":{"date-parts":[["2023",4,11]]}}}],"schema":"https://github.com/citation-style-language/schema/raw/master/csl-citation.json"} </w:instrText>
      </w:r>
      <w:r w:rsidR="00BC3FC5" w:rsidRPr="009D0FF6">
        <w:fldChar w:fldCharType="separate"/>
      </w:r>
      <w:r w:rsidR="00772DBF" w:rsidRPr="009D0FF6">
        <w:t>(Landy, 2023; Mana Wāhine Kōrero, 2023)</w:t>
      </w:r>
      <w:r w:rsidR="00BC3FC5" w:rsidRPr="009D0FF6">
        <w:fldChar w:fldCharType="end"/>
      </w:r>
      <w:r w:rsidR="00A8365D" w:rsidRPr="009D0FF6">
        <w:t xml:space="preserve"> </w:t>
      </w:r>
      <w:r w:rsidR="00EF4192" w:rsidRPr="009D0FF6">
        <w:t xml:space="preserve">The creation of multiple </w:t>
      </w:r>
      <w:r w:rsidR="00FF1331">
        <w:t>neologisms</w:t>
      </w:r>
      <w:r w:rsidR="00DB43E4">
        <w:t xml:space="preserve"> for </w:t>
      </w:r>
      <w:r w:rsidR="00EF4192" w:rsidRPr="009D0FF6">
        <w:t>transgender and non-binary people as well as the re</w:t>
      </w:r>
      <w:r w:rsidR="00DB43E4">
        <w:t xml:space="preserve">purposing of </w:t>
      </w:r>
      <w:r w:rsidR="00EF4192" w:rsidRPr="009D0FF6">
        <w:t xml:space="preserve"> </w:t>
      </w:r>
      <w:r w:rsidR="009D0FF6" w:rsidRPr="009D0FF6">
        <w:lastRenderedPageBreak/>
        <w:t>takatāpui</w:t>
      </w:r>
      <w:r w:rsidR="003114FC">
        <w:t xml:space="preserve">, </w:t>
      </w:r>
      <w:r w:rsidR="00EF4192">
        <w:t>the only Māori language term that may be used to self-describe gay and lesbian</w:t>
      </w:r>
      <w:r w:rsidR="00764755">
        <w:t xml:space="preserve"> relationships</w:t>
      </w:r>
      <w:r w:rsidR="00DB43E4">
        <w:t>,</w:t>
      </w:r>
      <w:r w:rsidR="00EF4192">
        <w:t xml:space="preserve"> </w:t>
      </w:r>
      <w:r w:rsidR="00DB43E4">
        <w:t xml:space="preserve">to </w:t>
      </w:r>
      <w:r w:rsidR="00BE3AEF">
        <w:t xml:space="preserve">also </w:t>
      </w:r>
      <w:r w:rsidR="00DB43E4">
        <w:t>describe</w:t>
      </w:r>
      <w:r w:rsidR="00EF4192">
        <w:t xml:space="preserve"> the transgender community is indicative of the</w:t>
      </w:r>
      <w:r w:rsidR="00F50569">
        <w:t xml:space="preserve"> recent</w:t>
      </w:r>
      <w:r w:rsidR="00247283">
        <w:t xml:space="preserve"> emergence </w:t>
      </w:r>
      <w:r w:rsidR="00EF4192">
        <w:t>of transgenderism in te Ao Māori.</w:t>
      </w:r>
      <w:r w:rsidR="00194656">
        <w:t xml:space="preserve"> Sterilising the young, binding breasts, undermining fertility have no historical precedents in M</w:t>
      </w:r>
      <w:r w:rsidR="00194656">
        <w:rPr>
          <w:rFonts w:cs="Calibri"/>
        </w:rPr>
        <w:t>ā</w:t>
      </w:r>
      <w:r w:rsidR="00194656">
        <w:t>ori mythology, songs or literature.</w:t>
      </w:r>
      <w:r w:rsidR="000019BF">
        <w:fldChar w:fldCharType="begin"/>
      </w:r>
      <w:r w:rsidR="000019BF">
        <w:instrText xml:space="preserve"> ADDIN ZOTERO_ITEM CSL_CITATION {"citationID":"smVoEFNE","properties":{"formattedCitation":"(Landy, 2023)","plainCitation":"(Landy, 2023)","noteIndex":0},"citationItems":[{"id":11117,"uris":["http://zotero.org/groups/2320358/items/SJRS3KAW"],"itemData":{"id":11117,"type":"article-magazine","abstract":"Around the world, trans activists are cynically attempting to drape their faddish colonial theories in the garb of timeless Indigenous wisdom.","container-title":"Quillette","language":"en","title":"Fictionalizing Māori History in the Name of Gender Ideology","URL":"https://quillette.com/2023/05/04/fictionalizing-indigenous-history-in-the-name-of-gender-activism/","author":[{"family":"Landy","given":"Dianne"}],"accessed":{"date-parts":[["2023",5,5]]},"issued":{"date-parts":[["2023",5,4]]}}}],"schema":"https://github.com/citation-style-language/schema/raw/master/csl-citation.json"} </w:instrText>
      </w:r>
      <w:r w:rsidR="000019BF">
        <w:fldChar w:fldCharType="separate"/>
      </w:r>
      <w:r w:rsidR="000019BF" w:rsidRPr="000019BF">
        <w:rPr>
          <w:rFonts w:cs="Calibri"/>
        </w:rPr>
        <w:t>(Landy, 2023)</w:t>
      </w:r>
      <w:r w:rsidR="000019BF">
        <w:fldChar w:fldCharType="end"/>
      </w:r>
      <w:r w:rsidR="00EF4192">
        <w:t xml:space="preserve"> </w:t>
      </w:r>
      <w:r w:rsidR="00E46045">
        <w:t xml:space="preserve">Is </w:t>
      </w:r>
      <w:r w:rsidR="00461217">
        <w:t>the approach that has been taken</w:t>
      </w:r>
      <w:r w:rsidR="009E379E">
        <w:t xml:space="preserve">, of </w:t>
      </w:r>
      <w:r w:rsidR="00461217">
        <w:t>binding M</w:t>
      </w:r>
      <w:r w:rsidR="00461217">
        <w:rPr>
          <w:rFonts w:cs="Calibri"/>
        </w:rPr>
        <w:t>ā</w:t>
      </w:r>
      <w:r w:rsidR="00461217">
        <w:t xml:space="preserve">ori society to transgender </w:t>
      </w:r>
      <w:r w:rsidR="0078594B">
        <w:t>identities</w:t>
      </w:r>
      <w:r w:rsidR="006C7925">
        <w:t xml:space="preserve"> to provide historical legitimacy</w:t>
      </w:r>
      <w:r w:rsidR="009E379E">
        <w:t>,</w:t>
      </w:r>
      <w:r w:rsidR="00E46045">
        <w:t xml:space="preserve"> simply a new form of colonialism? </w:t>
      </w:r>
      <w:r w:rsidR="009E379E">
        <w:t xml:space="preserve">Beyond </w:t>
      </w:r>
      <w:r w:rsidR="00E46045">
        <w:t>New Zealand</w:t>
      </w:r>
      <w:r w:rsidR="00230C39">
        <w:t>’s</w:t>
      </w:r>
      <w:r w:rsidR="00E46045">
        <w:t xml:space="preserve"> indigenous voices </w:t>
      </w:r>
      <w:r w:rsidR="00230C39">
        <w:t xml:space="preserve">there are </w:t>
      </w:r>
      <w:r w:rsidR="008756FB">
        <w:t xml:space="preserve">other writers </w:t>
      </w:r>
      <w:r w:rsidR="0052291F">
        <w:t xml:space="preserve">who </w:t>
      </w:r>
      <w:r w:rsidR="00FD16E4">
        <w:t xml:space="preserve">argue </w:t>
      </w:r>
      <w:r w:rsidR="009E379E">
        <w:t>that it is</w:t>
      </w:r>
      <w:r w:rsidR="00634322">
        <w:t>.</w:t>
      </w:r>
      <w:r w:rsidR="005E1421">
        <w:fldChar w:fldCharType="begin"/>
      </w:r>
      <w:r w:rsidR="00B77319">
        <w:instrText xml:space="preserve"> ADDIN ZOTERO_ITEM CSL_CITATION {"citationID":"rRLERoDR","properties":{"formattedCitation":"(Beatrice, 2020; Pember, 2016)","plainCitation":"(Beatrice, 2020; Pember, 2016)","noteIndex":0},"citationItems":[{"id":1586,"uris":["http://zotero.org/groups/2320358/items/8WL6ZR8X"],"itemData":{"id":1586,"type":"report","abstract":"Western progressives and academics continue to use people and cultures they don't understand to prop up their gender politics, treating these identities and cultural complexities as convenient tools that serve their political narrative.","language":"en-US","publisher":"Feminist Current","title":"The sex binary is not a ‘Western construct,’ gender identity is","URL":"https://www.feministcurrent.com/2020/12/06/the-sex-binary-is-not-a-western-construct-gender-identity-is/","author":[{"family":"Beatrice","given":"L."}],"accessed":{"date-parts":[["2020",12,8]]},"issued":{"date-parts":[["2020",12,6]]}}},{"id":2081,"uris":["http://zotero.org/groups/2320358/items/MPMYQSMV"],"itemData":{"id":2081,"type":"article-newspaper","abstract":"As a journalist and Ojibwe woman, I am troubled by the claims that Native peoples historically described LGBTQ folks as two-spirited and celebrated them as healers and shamans, because the claims are mostly unfounded or only partially true.","container-title":"Rewire.News","edition":"@6 October","language":"en","title":"‘Two Spirit’ Tradition Far From Ubiquitous Among Tribes","URL":"https://rewire.news/article/2016/10/13/two-spirit-tradition-far-ubiquitous-among-tribes/","author":[{"family":"Pember","given":"Mary Annette"}],"accessed":{"date-parts":[["2019",12,1]]},"issued":{"date-parts":[["2016",10,26]]}}}],"schema":"https://github.com/citation-style-language/schema/raw/master/csl-citation.json"} </w:instrText>
      </w:r>
      <w:r w:rsidR="005E1421">
        <w:fldChar w:fldCharType="separate"/>
      </w:r>
      <w:r w:rsidR="00B77319" w:rsidRPr="00B77319">
        <w:rPr>
          <w:rFonts w:cs="Calibri"/>
        </w:rPr>
        <w:t>(Beatrice, 2020; Pember, 2016)</w:t>
      </w:r>
      <w:r w:rsidR="005E1421">
        <w:fldChar w:fldCharType="end"/>
      </w:r>
    </w:p>
    <w:p w14:paraId="440FF65D" w14:textId="65CF5D81" w:rsidR="003E1C0F" w:rsidRDefault="003E1C0F" w:rsidP="00885484">
      <w:pPr>
        <w:pStyle w:val="Heading2"/>
      </w:pPr>
      <w:bookmarkStart w:id="49" w:name="_Toc140574841"/>
      <w:bookmarkStart w:id="50" w:name="_Toc143668013"/>
      <w:bookmarkStart w:id="51" w:name="_Toc145238126"/>
      <w:bookmarkStart w:id="52" w:name="_Toc156044306"/>
      <w:r>
        <w:t>Discussion</w:t>
      </w:r>
      <w:bookmarkEnd w:id="49"/>
      <w:r w:rsidR="00A50C23">
        <w:t xml:space="preserve"> and findings</w:t>
      </w:r>
      <w:bookmarkEnd w:id="50"/>
      <w:bookmarkEnd w:id="51"/>
      <w:bookmarkEnd w:id="52"/>
    </w:p>
    <w:p w14:paraId="1D85F18E" w14:textId="56F997F9" w:rsidR="000846E5" w:rsidRPr="001C5BAB" w:rsidRDefault="00DA3C87" w:rsidP="000846E5">
      <w:pPr>
        <w:rPr>
          <w:i/>
          <w:iCs/>
        </w:rPr>
      </w:pPr>
      <w:r>
        <w:t>The real world impacts of the PATHA Guideline are in the creation of medical pathways</w:t>
      </w:r>
      <w:r w:rsidR="001C320C">
        <w:t>.</w:t>
      </w:r>
      <w:r w:rsidR="00356CA8">
        <w:t xml:space="preserve"> </w:t>
      </w:r>
      <w:r>
        <w:t xml:space="preserve">These </w:t>
      </w:r>
      <w:r w:rsidR="008D6EF0">
        <w:t xml:space="preserve">affirmative </w:t>
      </w:r>
      <w:r>
        <w:t>pathways have fast</w:t>
      </w:r>
      <w:r w:rsidR="00CE74D8">
        <w:t>-</w:t>
      </w:r>
      <w:r>
        <w:t>tracked hundreds and possibly thousands of young people and children into social transition and medicalisation that has had irreversible effects on them</w:t>
      </w:r>
      <w:r w:rsidR="00356CA8">
        <w:t>.</w:t>
      </w:r>
      <w:r>
        <w:t xml:space="preserve"> By way of an example the ‘welcome letter’ for those accessing youth gender services at Auckland’s Centre for Youth Health begins with </w:t>
      </w:r>
      <w:r w:rsidR="0037140B">
        <w:t xml:space="preserve">affirming each child’s gender goals with </w:t>
      </w:r>
      <w:r>
        <w:t>discussions of puberty blockers, cross sex hormones and fertility preservation (for boys) in the first 90 minute appointment</w:t>
      </w:r>
      <w:r w:rsidR="00CE74D8">
        <w:t>.</w:t>
      </w:r>
      <w:r>
        <w:fldChar w:fldCharType="begin"/>
      </w:r>
      <w:r>
        <w:instrText xml:space="preserve"> ADDIN ZOTERO_ITEM CSL_CITATION {"citationID":"2sJd09r2","properties":{"formattedCitation":"(Centre for Youth Health &amp; Healthpoint, n.d.)","plainCitation":"(Centre for Youth Health &amp; Healthpoint, n.d.)","noteIndex":0},"citationItems":[{"id":11877,"uris":["http://zotero.org/groups/4882545/items/FQ6HYQXF"],"itemData":{"id":11877,"type":"report","publisher":"Auckland District Health Board","title":"Hauora Tāhine - Pathways to Transgender Healthcare Services Healthpoint","URL":"https://www.healthpoint.co.nz/public/sexual-health/hauora-tahine-pathways-to-transgender-healthcare/","author":[{"family":"Centre for Youth Health","given":""},{"family":"Healthpoint","given":""}],"accessed":{"date-parts":[["2023",8,18]]}}}],"schema":"https://github.com/citation-style-language/schema/raw/master/csl-citation.json"} </w:instrText>
      </w:r>
      <w:r>
        <w:fldChar w:fldCharType="separate"/>
      </w:r>
      <w:r w:rsidRPr="004324A1">
        <w:t>(Centre for Youth Health &amp; Healthpoint, n.d.)</w:t>
      </w:r>
      <w:r>
        <w:fldChar w:fldCharType="end"/>
      </w:r>
      <w:r w:rsidR="001C5BAB">
        <w:t xml:space="preserve">  </w:t>
      </w:r>
      <w:r w:rsidR="000846E5">
        <w:t xml:space="preserve">By doing this the implementation of the PATHA </w:t>
      </w:r>
      <w:r w:rsidR="001C5BAB">
        <w:t xml:space="preserve">health guideline </w:t>
      </w:r>
      <w:r w:rsidR="000846E5">
        <w:t xml:space="preserve">appears to take the view that </w:t>
      </w:r>
      <w:r w:rsidR="001C5BAB">
        <w:t xml:space="preserve">lifelong medication is preferable to an unmedicated life. </w:t>
      </w:r>
      <w:r w:rsidR="000846E5">
        <w:t>But why is it not best to have a child happy in the body they were born with and having fewer invasive and life altering procedures?</w:t>
      </w:r>
      <w:r w:rsidR="00A952E1">
        <w:t xml:space="preserve">  In summary whereas WPATH SOC 7 diagnoses  and treats gender dysphoria the PATHA Guideline affirms transgender identities.</w:t>
      </w:r>
    </w:p>
    <w:p w14:paraId="171BC370" w14:textId="2D848F4B" w:rsidR="00CA293E" w:rsidRDefault="00325F1D" w:rsidP="00CD4F82">
      <w:r>
        <w:t xml:space="preserve">The Guideline </w:t>
      </w:r>
      <w:r w:rsidR="00CC4580">
        <w:t>fall</w:t>
      </w:r>
      <w:r>
        <w:t>s</w:t>
      </w:r>
      <w:r w:rsidR="00187667">
        <w:t xml:space="preserve"> well</w:t>
      </w:r>
      <w:r w:rsidR="00CC4580">
        <w:t xml:space="preserve"> below customary standards of </w:t>
      </w:r>
      <w:r w:rsidR="00B011D4">
        <w:t xml:space="preserve">medical </w:t>
      </w:r>
      <w:r w:rsidR="00CC4580">
        <w:t xml:space="preserve">rigor, especially for such an influential </w:t>
      </w:r>
      <w:r w:rsidR="00E95E99">
        <w:t>document</w:t>
      </w:r>
      <w:r w:rsidR="00385103">
        <w:t xml:space="preserve"> in a novel</w:t>
      </w:r>
      <w:r w:rsidR="00457945">
        <w:t>,</w:t>
      </w:r>
      <w:r w:rsidR="00385103">
        <w:t xml:space="preserve"> experimental </w:t>
      </w:r>
      <w:r w:rsidR="00457945">
        <w:t xml:space="preserve">and rapidly growing </w:t>
      </w:r>
      <w:r w:rsidR="00385103">
        <w:t>area of medicine</w:t>
      </w:r>
      <w:r w:rsidR="00CC4580">
        <w:t xml:space="preserve">. </w:t>
      </w:r>
      <w:r w:rsidR="00B123D0">
        <w:t xml:space="preserve">The WPATH SOC 7 is no panacea and </w:t>
      </w:r>
      <w:r w:rsidR="00834241">
        <w:t xml:space="preserve">itself </w:t>
      </w:r>
      <w:r w:rsidR="00B123D0">
        <w:t xml:space="preserve">falls short of </w:t>
      </w:r>
      <w:r w:rsidR="00834241">
        <w:t xml:space="preserve">being an evidence based Guideline. </w:t>
      </w:r>
      <w:r w:rsidR="00EB4D63">
        <w:t xml:space="preserve">The authors could have taken advantage of the </w:t>
      </w:r>
      <w:r w:rsidR="004755DA">
        <w:t xml:space="preserve">work </w:t>
      </w:r>
      <w:r w:rsidR="00EB4D63">
        <w:t>critiqu</w:t>
      </w:r>
      <w:r w:rsidR="004755DA">
        <w:t xml:space="preserve">ing </w:t>
      </w:r>
      <w:r w:rsidR="000A4BB1">
        <w:t>SOC 7</w:t>
      </w:r>
      <w:r w:rsidR="004755DA">
        <w:t xml:space="preserve"> </w:t>
      </w:r>
      <w:r w:rsidR="00CD4F82">
        <w:t xml:space="preserve">(Deutsch, 2016) </w:t>
      </w:r>
      <w:r w:rsidR="004755DA">
        <w:t xml:space="preserve">to enhance </w:t>
      </w:r>
      <w:r w:rsidR="00EB4D63">
        <w:t>the quality of the PATHA Guideline</w:t>
      </w:r>
      <w:r w:rsidR="004755DA">
        <w:t xml:space="preserve"> but that did not happen. Instead</w:t>
      </w:r>
      <w:r w:rsidR="00EB4D63">
        <w:t xml:space="preserve"> </w:t>
      </w:r>
      <w:r w:rsidR="000A4BB1">
        <w:t>o</w:t>
      </w:r>
      <w:r w:rsidR="00CC4580">
        <w:t xml:space="preserve">n each occasion where the PATHA Guideline differs from WPATH it effectively </w:t>
      </w:r>
      <w:r w:rsidR="00A37A7C">
        <w:t>amplifies the faults</w:t>
      </w:r>
      <w:r w:rsidR="00167B7C">
        <w:t>.</w:t>
      </w:r>
      <w:r w:rsidR="0052374E">
        <w:t xml:space="preserve"> </w:t>
      </w:r>
      <w:r w:rsidR="00155189">
        <w:t>These</w:t>
      </w:r>
      <w:r w:rsidR="00CC4580">
        <w:t xml:space="preserve"> treatment approaches</w:t>
      </w:r>
      <w:r w:rsidR="00375AAC">
        <w:t>,</w:t>
      </w:r>
      <w:r w:rsidR="00CC4580">
        <w:t xml:space="preserve"> </w:t>
      </w:r>
      <w:r w:rsidR="00AC0EDA">
        <w:t>especially</w:t>
      </w:r>
      <w:r w:rsidR="00CC4580">
        <w:t xml:space="preserve"> when </w:t>
      </w:r>
      <w:r w:rsidR="00DA1B51">
        <w:t xml:space="preserve">they differ substantially from </w:t>
      </w:r>
      <w:r w:rsidR="00CC4580">
        <w:t>WPATH’s SOC 7</w:t>
      </w:r>
      <w:r w:rsidR="00453D84">
        <w:t>,</w:t>
      </w:r>
      <w:r w:rsidR="00CC4580">
        <w:t xml:space="preserve"> are</w:t>
      </w:r>
      <w:r w:rsidR="00CA293E">
        <w:t xml:space="preserve"> especially</w:t>
      </w:r>
      <w:r w:rsidR="00CC4580">
        <w:t xml:space="preserve"> concerning</w:t>
      </w:r>
      <w:r w:rsidR="00A22FCD">
        <w:t>. Each makes medicalisation more likely or fails to provide patients with important information</w:t>
      </w:r>
      <w:r w:rsidR="00E1267E">
        <w:t>. I</w:t>
      </w:r>
      <w:r w:rsidR="004D6FC7">
        <w:t>t</w:t>
      </w:r>
      <w:r w:rsidR="00F2025C">
        <w:t xml:space="preserve"> </w:t>
      </w:r>
      <w:r w:rsidR="004D1265">
        <w:t xml:space="preserve">appears </w:t>
      </w:r>
      <w:r w:rsidR="00F2025C">
        <w:t>the</w:t>
      </w:r>
      <w:r w:rsidR="00E1267E">
        <w:t xml:space="preserve"> changes</w:t>
      </w:r>
      <w:r w:rsidR="00F2025C">
        <w:t xml:space="preserve"> have been advocated for by </w:t>
      </w:r>
      <w:r w:rsidR="00E915C8">
        <w:t>activist</w:t>
      </w:r>
      <w:r w:rsidR="00F2025C">
        <w:t xml:space="preserve"> transgender </w:t>
      </w:r>
      <w:r w:rsidR="00E915C8">
        <w:t>groups and indi</w:t>
      </w:r>
      <w:r w:rsidR="001540EB">
        <w:t>v</w:t>
      </w:r>
      <w:r w:rsidR="00E915C8">
        <w:t>iduals</w:t>
      </w:r>
      <w:r w:rsidR="00B011D4">
        <w:t>,</w:t>
      </w:r>
      <w:r w:rsidR="001540EB">
        <w:t xml:space="preserve"> and </w:t>
      </w:r>
      <w:r w:rsidR="00B011D4">
        <w:t xml:space="preserve">the recommendations </w:t>
      </w:r>
      <w:r w:rsidR="001540EB">
        <w:t>are supported, if at all, by cherry-picked evidence.</w:t>
      </w:r>
      <w:r w:rsidR="00FD396B">
        <w:t xml:space="preserve">  </w:t>
      </w:r>
    </w:p>
    <w:p w14:paraId="6D10C85C" w14:textId="477452F5" w:rsidR="00CF7834" w:rsidRDefault="00753A89" w:rsidP="00885484">
      <w:r>
        <w:t>To summarise the findings:  T</w:t>
      </w:r>
      <w:r w:rsidR="003E1C0F">
        <w:t>he authors did not take the available route of creating a guideline for New Zealand conditions by adapting the best available</w:t>
      </w:r>
      <w:r w:rsidR="0052374E">
        <w:t xml:space="preserve"> </w:t>
      </w:r>
      <w:r w:rsidR="003E1C0F">
        <w:t xml:space="preserve">evidence as the BPAC would have advised. </w:t>
      </w:r>
      <w:r w:rsidR="00507173">
        <w:t>It appears that the PATHA Guideline lacks the systematic and transparent methodology expected of an evidence based clinical</w:t>
      </w:r>
      <w:r w:rsidR="006D3691">
        <w:t xml:space="preserve"> </w:t>
      </w:r>
      <w:r w:rsidR="00507173">
        <w:t>practice guideline</w:t>
      </w:r>
      <w:r w:rsidR="001A3D9A">
        <w:t xml:space="preserve"> in</w:t>
      </w:r>
      <w:r w:rsidR="00122875">
        <w:t xml:space="preserve"> almost</w:t>
      </w:r>
      <w:r w:rsidR="001A3D9A">
        <w:t xml:space="preserve"> every respect</w:t>
      </w:r>
      <w:r w:rsidR="006D3691">
        <w:t xml:space="preserve">. </w:t>
      </w:r>
      <w:r w:rsidR="003E1C0F">
        <w:t xml:space="preserve">The population needing treatment and/or the symptoms that define the </w:t>
      </w:r>
      <w:r w:rsidR="00D34F54">
        <w:t>transgender condition</w:t>
      </w:r>
      <w:r w:rsidR="003E1C0F">
        <w:t xml:space="preserve"> </w:t>
      </w:r>
      <w:r w:rsidR="008F2BC3">
        <w:t>(</w:t>
      </w:r>
      <w:r w:rsidR="003E1C0F">
        <w:t>and thus the treatments on offer</w:t>
      </w:r>
      <w:r w:rsidR="008F2BC3">
        <w:t>)</w:t>
      </w:r>
      <w:r w:rsidR="003E1C0F">
        <w:t xml:space="preserve"> suffer from definitional problems. </w:t>
      </w:r>
      <w:r w:rsidR="00C54CDF">
        <w:t xml:space="preserve">It </w:t>
      </w:r>
      <w:r w:rsidR="003E1C0F">
        <w:t xml:space="preserve">appears </w:t>
      </w:r>
      <w:r w:rsidR="00C54CDF">
        <w:t xml:space="preserve">there </w:t>
      </w:r>
      <w:r w:rsidR="008E1F9B">
        <w:t>are</w:t>
      </w:r>
      <w:r w:rsidR="00CD4F82">
        <w:t xml:space="preserve"> </w:t>
      </w:r>
      <w:r w:rsidR="003E1C0F">
        <w:t>skill gaps in the team</w:t>
      </w:r>
      <w:r w:rsidR="00F668BB">
        <w:t xml:space="preserve"> of authors</w:t>
      </w:r>
      <w:r w:rsidR="00BA4DEB">
        <w:t xml:space="preserve"> </w:t>
      </w:r>
      <w:r w:rsidR="00041B69">
        <w:t xml:space="preserve">and </w:t>
      </w:r>
      <w:r w:rsidR="000246CF">
        <w:t>wh</w:t>
      </w:r>
      <w:r w:rsidR="00360C18">
        <w:t>ether their</w:t>
      </w:r>
      <w:r w:rsidR="003A0796">
        <w:t xml:space="preserve"> participation </w:t>
      </w:r>
      <w:r w:rsidR="00360C18">
        <w:t>is</w:t>
      </w:r>
      <w:r w:rsidR="003A0796">
        <w:t xml:space="preserve"> as </w:t>
      </w:r>
      <w:r w:rsidR="00360C18">
        <w:t xml:space="preserve">individuals, </w:t>
      </w:r>
      <w:r w:rsidR="00041B69">
        <w:t xml:space="preserve">or as </w:t>
      </w:r>
      <w:r w:rsidR="00360C18">
        <w:t>institution</w:t>
      </w:r>
      <w:r w:rsidR="00041B69">
        <w:t>al representatives is unclear.</w:t>
      </w:r>
      <w:r w:rsidR="005C30D9">
        <w:t xml:space="preserve"> There is </w:t>
      </w:r>
      <w:r w:rsidR="00F668BB">
        <w:t xml:space="preserve">no evidence </w:t>
      </w:r>
      <w:r w:rsidR="008F2BC3">
        <w:t xml:space="preserve">of </w:t>
      </w:r>
      <w:r w:rsidR="00F668BB">
        <w:t xml:space="preserve">a systematic </w:t>
      </w:r>
      <w:r w:rsidR="003E1C0F">
        <w:t>literature review,</w:t>
      </w:r>
      <w:r w:rsidR="008C7CEF">
        <w:t xml:space="preserve"> nor </w:t>
      </w:r>
      <w:r w:rsidR="003E1C0F">
        <w:t xml:space="preserve">a process for formulating </w:t>
      </w:r>
      <w:r w:rsidR="00286F0B">
        <w:t xml:space="preserve">clinical </w:t>
      </w:r>
      <w:r w:rsidR="003E1C0F">
        <w:t xml:space="preserve">recommendations </w:t>
      </w:r>
      <w:r w:rsidR="00E02DD3">
        <w:t xml:space="preserve">that arise from </w:t>
      </w:r>
      <w:r w:rsidR="003E1C0F">
        <w:t xml:space="preserve">an evidence base. There is nothing to demonstrate that there was </w:t>
      </w:r>
      <w:r w:rsidR="00A46B05">
        <w:t xml:space="preserve">either </w:t>
      </w:r>
      <w:r w:rsidR="003E1C0F">
        <w:t>an independent pre-publication review,</w:t>
      </w:r>
      <w:r w:rsidR="0052374E">
        <w:t xml:space="preserve"> </w:t>
      </w:r>
      <w:r w:rsidR="003E1C0F">
        <w:t xml:space="preserve">a process for managing conflicts of interest </w:t>
      </w:r>
      <w:r w:rsidR="00727FBC">
        <w:t xml:space="preserve">or </w:t>
      </w:r>
      <w:r w:rsidR="003E1C0F">
        <w:t>a plan for reviewing the PATHA Guideline.</w:t>
      </w:r>
      <w:r w:rsidR="00CF7834">
        <w:t xml:space="preserve"> </w:t>
      </w:r>
    </w:p>
    <w:p w14:paraId="6C3629CD" w14:textId="43A10761" w:rsidR="003C257F" w:rsidRDefault="003E1C0F" w:rsidP="00885484">
      <w:r>
        <w:t xml:space="preserve">The affected population of transgender people </w:t>
      </w:r>
      <w:r w:rsidR="00CF4D36">
        <w:t xml:space="preserve">who </w:t>
      </w:r>
      <w:r>
        <w:t xml:space="preserve">were involved in the scoping and preference setting </w:t>
      </w:r>
      <w:r w:rsidR="004401A2">
        <w:t xml:space="preserve">appear to have been </w:t>
      </w:r>
      <w:r w:rsidR="00432456">
        <w:t xml:space="preserve">central to the </w:t>
      </w:r>
      <w:r w:rsidR="00DE4376">
        <w:t xml:space="preserve">philosophical approach taken by the Guideline. </w:t>
      </w:r>
      <w:r>
        <w:t>Rather than a</w:t>
      </w:r>
      <w:r w:rsidR="00C66B8E">
        <w:t xml:space="preserve"> formal engagement</w:t>
      </w:r>
      <w:r>
        <w:t xml:space="preserve"> process </w:t>
      </w:r>
      <w:r w:rsidR="00CD7A12">
        <w:t xml:space="preserve">PATHA </w:t>
      </w:r>
      <w:r>
        <w:t xml:space="preserve">went well beyond the </w:t>
      </w:r>
      <w:r w:rsidR="00262073">
        <w:t xml:space="preserve">WPATH </w:t>
      </w:r>
      <w:r>
        <w:t xml:space="preserve">SOC 7 approach </w:t>
      </w:r>
      <w:r w:rsidR="00911749">
        <w:t>to gathering opinion</w:t>
      </w:r>
      <w:r w:rsidR="00DE6EDE">
        <w:t xml:space="preserve"> by including activist groups and </w:t>
      </w:r>
      <w:r w:rsidR="00DD4DB6">
        <w:t>individuals</w:t>
      </w:r>
      <w:r w:rsidR="00B011D4">
        <w:t xml:space="preserve"> at the centre of the process</w:t>
      </w:r>
      <w:r>
        <w:t xml:space="preserve">. </w:t>
      </w:r>
      <w:r w:rsidR="00444393">
        <w:t xml:space="preserve">When </w:t>
      </w:r>
      <w:r w:rsidR="004F322E">
        <w:t xml:space="preserve">the Guideline </w:t>
      </w:r>
      <w:r w:rsidR="009B4A7D">
        <w:t xml:space="preserve">makes </w:t>
      </w:r>
      <w:r w:rsidR="004F322E">
        <w:t>recommend</w:t>
      </w:r>
      <w:r w:rsidR="009B4A7D">
        <w:t>ations that go beyond WPATH’s advice</w:t>
      </w:r>
      <w:r w:rsidR="008F2BC3">
        <w:t>,</w:t>
      </w:r>
      <w:r w:rsidR="009B4A7D">
        <w:t xml:space="preserve"> but are presented without evidence</w:t>
      </w:r>
      <w:r w:rsidR="008F2BC3">
        <w:t>,</w:t>
      </w:r>
      <w:r w:rsidR="009B4A7D">
        <w:t xml:space="preserve"> it is valid to be concerned that the guideline</w:t>
      </w:r>
      <w:r w:rsidR="004B6300">
        <w:t xml:space="preserve"> writers have struck</w:t>
      </w:r>
      <w:r w:rsidR="009B4A7D">
        <w:t xml:space="preserve"> the wrong </w:t>
      </w:r>
      <w:r w:rsidR="004B6300">
        <w:t>balance</w:t>
      </w:r>
      <w:r w:rsidR="006852F3">
        <w:t xml:space="preserve">. </w:t>
      </w:r>
    </w:p>
    <w:p w14:paraId="376856CF" w14:textId="254CFE19" w:rsidR="00405F0A" w:rsidRPr="00B10A4B" w:rsidRDefault="00405F0A" w:rsidP="00885484">
      <w:pPr>
        <w:pStyle w:val="Heading4"/>
      </w:pPr>
      <w:r w:rsidRPr="00B10A4B">
        <w:lastRenderedPageBreak/>
        <w:t>Questions that arise</w:t>
      </w:r>
    </w:p>
    <w:p w14:paraId="45240E04" w14:textId="5E90494B" w:rsidR="00405F0A" w:rsidRPr="00C80C9A" w:rsidRDefault="00405F0A" w:rsidP="00885484">
      <w:r w:rsidRPr="00C80C9A">
        <w:t xml:space="preserve">The creation of this guideline and the lack of any critical assessment of its approach over 5 years, </w:t>
      </w:r>
      <w:r w:rsidR="009E6131" w:rsidRPr="00C80C9A">
        <w:t xml:space="preserve">especially </w:t>
      </w:r>
      <w:r w:rsidRPr="00C80C9A">
        <w:t>by the Ministry of Health, appears</w:t>
      </w:r>
      <w:r w:rsidR="00CC4580" w:rsidRPr="00C80C9A">
        <w:t xml:space="preserve"> to be </w:t>
      </w:r>
      <w:r w:rsidRPr="00C80C9A">
        <w:t>a kind of regulatory failure</w:t>
      </w:r>
      <w:r w:rsidR="000953DF" w:rsidRPr="00C80C9A">
        <w:t>.</w:t>
      </w:r>
      <w:r w:rsidR="00CC4580" w:rsidRPr="00C80C9A">
        <w:rPr>
          <w:lang w:eastAsia="en-US"/>
        </w:rPr>
        <w:t xml:space="preserve"> Should the Ministry mandate that, in future, clinical guidelines are created to an agreed standard </w:t>
      </w:r>
      <w:r w:rsidR="000953DF" w:rsidRPr="00C80C9A">
        <w:rPr>
          <w:lang w:eastAsia="en-US"/>
        </w:rPr>
        <w:t xml:space="preserve">and </w:t>
      </w:r>
      <w:r w:rsidR="00DD019A" w:rsidRPr="00C80C9A">
        <w:rPr>
          <w:lang w:eastAsia="en-US"/>
        </w:rPr>
        <w:t>requir</w:t>
      </w:r>
      <w:r w:rsidR="000953DF" w:rsidRPr="00C80C9A">
        <w:rPr>
          <w:lang w:eastAsia="en-US"/>
        </w:rPr>
        <w:t>e</w:t>
      </w:r>
      <w:r w:rsidR="00CC4580" w:rsidRPr="00C80C9A">
        <w:rPr>
          <w:lang w:eastAsia="en-US"/>
        </w:rPr>
        <w:t xml:space="preserve"> an external assessment? </w:t>
      </w:r>
      <w:r w:rsidR="008E42B8" w:rsidRPr="00C80C9A">
        <w:t xml:space="preserve"> </w:t>
      </w:r>
      <w:r w:rsidR="00602314" w:rsidRPr="00C80C9A">
        <w:t>Wh</w:t>
      </w:r>
      <w:r w:rsidRPr="00C80C9A">
        <w:t>at are the arrangements that usually apply to implement</w:t>
      </w:r>
      <w:r w:rsidR="0046518E" w:rsidRPr="00C80C9A">
        <w:t>ing</w:t>
      </w:r>
      <w:r w:rsidRPr="00C80C9A">
        <w:t xml:space="preserve"> new medical approaches and is the PATHA Guideline an outlier</w:t>
      </w:r>
      <w:r w:rsidR="0099089E" w:rsidRPr="00C80C9A">
        <w:t>?</w:t>
      </w:r>
      <w:r w:rsidRPr="00C80C9A">
        <w:t xml:space="preserve"> Surely it cannot </w:t>
      </w:r>
      <w:r w:rsidR="0046518E" w:rsidRPr="00C80C9A">
        <w:t>be that any interest group can embed their thinking in a medical guideline</w:t>
      </w:r>
      <w:r w:rsidRPr="00C80C9A">
        <w:t xml:space="preserve"> deciding that good practice equates to the approach that benefits their careers or advances their personal treatment journeys? </w:t>
      </w:r>
      <w:r w:rsidR="0046518E" w:rsidRPr="00C80C9A">
        <w:t xml:space="preserve"> </w:t>
      </w:r>
      <w:r w:rsidRPr="00C80C9A">
        <w:t xml:space="preserve">Should </w:t>
      </w:r>
      <w:r w:rsidR="00602314" w:rsidRPr="00C80C9A">
        <w:t xml:space="preserve">a guideline </w:t>
      </w:r>
      <w:r w:rsidR="00DD291E" w:rsidRPr="00C80C9A">
        <w:t>propose</w:t>
      </w:r>
      <w:r w:rsidRPr="00C80C9A">
        <w:t xml:space="preserve"> massive steps beyond international norms without good reason?  </w:t>
      </w:r>
      <w:r w:rsidR="008E7D42">
        <w:t xml:space="preserve">Based on the Health and Disability case cited </w:t>
      </w:r>
      <w:r w:rsidR="0030636D">
        <w:t xml:space="preserve"> above (Health and Disability Commission. 2012)</w:t>
      </w:r>
      <w:r w:rsidR="00300B19">
        <w:t xml:space="preserve"> </w:t>
      </w:r>
      <w:r w:rsidR="008E7D42">
        <w:t xml:space="preserve">does the Guideline provide the </w:t>
      </w:r>
      <w:r w:rsidR="00CC0D5A">
        <w:t xml:space="preserve">evidence that the medicine </w:t>
      </w:r>
      <w:r w:rsidR="006750F1">
        <w:t>does</w:t>
      </w:r>
      <w:r w:rsidR="00CC0D5A">
        <w:t>, as the judgement required</w:t>
      </w:r>
      <w:r w:rsidR="009509A9">
        <w:t>,</w:t>
      </w:r>
      <w:r w:rsidR="00CC0D5A">
        <w:t xml:space="preserve"> allow the practitioner to meet the ‘</w:t>
      </w:r>
      <w:r w:rsidR="00CC0D5A" w:rsidRPr="00CC0D5A">
        <w:rPr>
          <w:rFonts w:asciiTheme="minorHAnsi" w:hAnsiTheme="minorHAnsi" w:cstheme="minorHAnsi"/>
          <w:i/>
          <w:iCs/>
          <w:color w:val="1D1C1D"/>
          <w:shd w:val="clear" w:color="auto" w:fill="F8F8F8"/>
        </w:rPr>
        <w:t>obligation to satisfy themselves that the medicine is safe and efficacious</w:t>
      </w:r>
      <w:r w:rsidR="00CC0D5A">
        <w:rPr>
          <w:rFonts w:asciiTheme="minorHAnsi" w:hAnsiTheme="minorHAnsi" w:cstheme="minorHAnsi"/>
          <w:i/>
          <w:iCs/>
          <w:color w:val="1D1C1D"/>
          <w:shd w:val="clear" w:color="auto" w:fill="F8F8F8"/>
        </w:rPr>
        <w:t>’</w:t>
      </w:r>
      <w:r w:rsidR="00067888">
        <w:rPr>
          <w:rFonts w:asciiTheme="minorHAnsi" w:hAnsiTheme="minorHAnsi" w:cstheme="minorHAnsi"/>
          <w:i/>
          <w:iCs/>
          <w:color w:val="1D1C1D"/>
          <w:shd w:val="clear" w:color="auto" w:fill="F8F8F8"/>
        </w:rPr>
        <w:t xml:space="preserve"> </w:t>
      </w:r>
      <w:r w:rsidR="00067888">
        <w:rPr>
          <w:rFonts w:asciiTheme="minorHAnsi" w:hAnsiTheme="minorHAnsi" w:cstheme="minorHAnsi"/>
          <w:color w:val="1D1C1D"/>
          <w:shd w:val="clear" w:color="auto" w:fill="F8F8F8"/>
        </w:rPr>
        <w:t xml:space="preserve">as the </w:t>
      </w:r>
      <w:r w:rsidR="00067888">
        <w:t xml:space="preserve">Health and Disability </w:t>
      </w:r>
      <w:r w:rsidR="00687A5E">
        <w:t xml:space="preserve">Commission </w:t>
      </w:r>
      <w:r w:rsidR="00067888">
        <w:t>requires</w:t>
      </w:r>
      <w:r w:rsidR="00DF5978">
        <w:rPr>
          <w:rFonts w:ascii="Arial" w:hAnsi="Arial"/>
          <w:color w:val="1D1C1D"/>
          <w:sz w:val="23"/>
          <w:szCs w:val="23"/>
          <w:shd w:val="clear" w:color="auto" w:fill="F8F8F8"/>
        </w:rPr>
        <w:t>?</w:t>
      </w:r>
      <w:r w:rsidR="00CC0D5A">
        <w:rPr>
          <w:rFonts w:ascii="Arial" w:hAnsi="Arial"/>
          <w:color w:val="1D1C1D"/>
          <w:sz w:val="23"/>
          <w:szCs w:val="23"/>
          <w:shd w:val="clear" w:color="auto" w:fill="F8F8F8"/>
        </w:rPr>
        <w:t> </w:t>
      </w:r>
      <w:r w:rsidR="008E7D42">
        <w:t xml:space="preserve"> </w:t>
      </w:r>
      <w:r w:rsidR="00B011D4" w:rsidRPr="00C80C9A">
        <w:rPr>
          <w:lang w:eastAsia="en-US"/>
        </w:rPr>
        <w:t xml:space="preserve">Should Waikato University also review the Guideline </w:t>
      </w:r>
      <w:r w:rsidR="00B011D4">
        <w:rPr>
          <w:lang w:eastAsia="en-US"/>
        </w:rPr>
        <w:t xml:space="preserve">against their standards for </w:t>
      </w:r>
      <w:r w:rsidR="00B011D4" w:rsidRPr="00C80C9A">
        <w:rPr>
          <w:lang w:eastAsia="en-US"/>
        </w:rPr>
        <w:t xml:space="preserve">academic adequacy? </w:t>
      </w:r>
      <w:r w:rsidRPr="00C80C9A">
        <w:t xml:space="preserve">Surely it </w:t>
      </w:r>
      <w:r w:rsidR="00D327CA" w:rsidRPr="00C80C9A">
        <w:t>should not be</w:t>
      </w:r>
      <w:r w:rsidRPr="00C80C9A">
        <w:t xml:space="preserve"> </w:t>
      </w:r>
      <w:r w:rsidR="007E27D1" w:rsidRPr="00C80C9A">
        <w:t xml:space="preserve">using the evidence of </w:t>
      </w:r>
      <w:r w:rsidRPr="00C80C9A">
        <w:t xml:space="preserve">the </w:t>
      </w:r>
      <w:r w:rsidR="00B2274B" w:rsidRPr="00C80C9A">
        <w:t>adults whose</w:t>
      </w:r>
      <w:r w:rsidRPr="00C80C9A">
        <w:t xml:space="preserve"> childhood memories of their </w:t>
      </w:r>
      <w:r w:rsidR="007E27D1" w:rsidRPr="00C80C9A">
        <w:t xml:space="preserve">own </w:t>
      </w:r>
      <w:r w:rsidRPr="00C80C9A">
        <w:t>gender dis</w:t>
      </w:r>
      <w:r w:rsidR="003B0843" w:rsidRPr="00C80C9A">
        <w:t>comfort</w:t>
      </w:r>
      <w:r w:rsidRPr="00C80C9A">
        <w:t xml:space="preserve"> account for only a small proportion of the overall population of people with the same </w:t>
      </w:r>
      <w:r w:rsidR="003B0843" w:rsidRPr="00C80C9A">
        <w:t xml:space="preserve"> discomfort</w:t>
      </w:r>
      <w:r w:rsidR="007E27D1" w:rsidRPr="00C80C9A">
        <w:t xml:space="preserve"> to set the criteria for who is transgender</w:t>
      </w:r>
      <w:r w:rsidR="00B011D4">
        <w:t>.</w:t>
      </w:r>
      <w:r w:rsidRPr="00C80C9A">
        <w:t xml:space="preserve"> </w:t>
      </w:r>
      <w:r w:rsidR="009E726F" w:rsidRPr="00C80C9A">
        <w:t>By downplaying the evidence that most gender questioning children resolve their confusion, present in the WPATH SOC 7, and in the previous New Zealand guideline, there is great cause for concern</w:t>
      </w:r>
      <w:r w:rsidR="009444B7" w:rsidRPr="00C80C9A">
        <w:t xml:space="preserve"> as </w:t>
      </w:r>
      <w:r w:rsidRPr="00C80C9A">
        <w:t>children and young people</w:t>
      </w:r>
      <w:r w:rsidR="00C32615" w:rsidRPr="00C80C9A">
        <w:t>,</w:t>
      </w:r>
      <w:r w:rsidRPr="00C80C9A">
        <w:t xml:space="preserve"> </w:t>
      </w:r>
      <w:r w:rsidR="009444B7" w:rsidRPr="00C80C9A">
        <w:t>who would not otherwise have been</w:t>
      </w:r>
      <w:r w:rsidRPr="00C80C9A">
        <w:t xml:space="preserve"> </w:t>
      </w:r>
      <w:r w:rsidR="00360495" w:rsidRPr="00C80C9A">
        <w:t xml:space="preserve">lifelong patients are now </w:t>
      </w:r>
      <w:r w:rsidRPr="00C80C9A">
        <w:t>permanently medicated</w:t>
      </w:r>
      <w:r w:rsidR="00360495" w:rsidRPr="00C80C9A">
        <w:t>.</w:t>
      </w:r>
      <w:r w:rsidRPr="00C80C9A">
        <w:t xml:space="preserve"> </w:t>
      </w:r>
    </w:p>
    <w:p w14:paraId="58AD29DD" w14:textId="07C60B83" w:rsidR="00664C97" w:rsidRPr="00C80C9A" w:rsidRDefault="00CC4580" w:rsidP="00885484">
      <w:pPr>
        <w:rPr>
          <w:b/>
          <w:iCs/>
          <w:kern w:val="0"/>
          <w:lang w:eastAsia="en-US"/>
        </w:rPr>
      </w:pPr>
      <w:r w:rsidRPr="00C80C9A">
        <w:rPr>
          <w:lang w:eastAsia="en-US"/>
        </w:rPr>
        <w:t>The Ministry of Health has previously advised that PATHA will write the new standard following the release of WPATH SOC 8</w:t>
      </w:r>
      <w:r w:rsidR="00EF58E7" w:rsidRPr="00C80C9A">
        <w:rPr>
          <w:lang w:eastAsia="en-US"/>
        </w:rPr>
        <w:t xml:space="preserve"> and the work has received budget funding</w:t>
      </w:r>
      <w:r w:rsidRPr="00C80C9A">
        <w:rPr>
          <w:lang w:eastAsia="en-US"/>
        </w:rPr>
        <w:t xml:space="preserve">. Based on the current </w:t>
      </w:r>
      <w:r w:rsidR="004B7C70" w:rsidRPr="00C80C9A">
        <w:rPr>
          <w:lang w:eastAsia="en-US"/>
        </w:rPr>
        <w:t>approach</w:t>
      </w:r>
      <w:r w:rsidRPr="00C80C9A">
        <w:rPr>
          <w:lang w:eastAsia="en-US"/>
        </w:rPr>
        <w:t xml:space="preserve"> what checks on process and quality should the Ministry insist upon to ensure that this work is satisfactory? Should the New Zealand Sexual Health Society and the New Zealand Society of Endocrinology review the basis for their endorsement of it? </w:t>
      </w:r>
      <w:r w:rsidR="007442E5" w:rsidRPr="00C80C9A">
        <w:rPr>
          <w:lang w:eastAsia="en-US"/>
        </w:rPr>
        <w:t xml:space="preserve">Should the </w:t>
      </w:r>
      <w:r w:rsidR="00B74F65" w:rsidRPr="00C80C9A">
        <w:rPr>
          <w:lang w:eastAsia="en-US"/>
        </w:rPr>
        <w:t>Medical Council</w:t>
      </w:r>
      <w:r w:rsidR="007442E5" w:rsidRPr="00C80C9A">
        <w:rPr>
          <w:lang w:eastAsia="en-US"/>
        </w:rPr>
        <w:t xml:space="preserve"> review their guidance </w:t>
      </w:r>
      <w:r w:rsidR="00C27297" w:rsidRPr="00C80C9A">
        <w:rPr>
          <w:lang w:eastAsia="en-US"/>
        </w:rPr>
        <w:t xml:space="preserve">and </w:t>
      </w:r>
      <w:r w:rsidR="004C10CF" w:rsidRPr="00C80C9A">
        <w:rPr>
          <w:lang w:eastAsia="en-US"/>
        </w:rPr>
        <w:t>professional</w:t>
      </w:r>
      <w:r w:rsidR="00C27297" w:rsidRPr="00C80C9A">
        <w:rPr>
          <w:lang w:eastAsia="en-US"/>
        </w:rPr>
        <w:t xml:space="preserve"> training and should </w:t>
      </w:r>
      <w:r w:rsidR="00B74F65" w:rsidRPr="00C80C9A">
        <w:rPr>
          <w:lang w:eastAsia="en-US"/>
        </w:rPr>
        <w:t xml:space="preserve">Health New Zealand’s </w:t>
      </w:r>
      <w:r w:rsidR="00C27297" w:rsidRPr="00C80C9A">
        <w:rPr>
          <w:lang w:eastAsia="en-US"/>
        </w:rPr>
        <w:t xml:space="preserve">health pathways </w:t>
      </w:r>
      <w:r w:rsidR="004C10CF" w:rsidRPr="00C80C9A">
        <w:rPr>
          <w:lang w:eastAsia="en-US"/>
        </w:rPr>
        <w:t xml:space="preserve">that depend on </w:t>
      </w:r>
      <w:r w:rsidR="00BC0709" w:rsidRPr="00C80C9A">
        <w:rPr>
          <w:lang w:eastAsia="en-US"/>
        </w:rPr>
        <w:t xml:space="preserve">the </w:t>
      </w:r>
      <w:r w:rsidR="00847B34" w:rsidRPr="00C80C9A">
        <w:rPr>
          <w:lang w:eastAsia="en-US"/>
        </w:rPr>
        <w:t>Guideline</w:t>
      </w:r>
      <w:r w:rsidR="004C10CF" w:rsidRPr="00C80C9A">
        <w:rPr>
          <w:lang w:eastAsia="en-US"/>
        </w:rPr>
        <w:t xml:space="preserve"> be reviewed?</w:t>
      </w:r>
    </w:p>
    <w:p w14:paraId="3BB36D03" w14:textId="4887CEAC" w:rsidR="004F5C0E" w:rsidRPr="00885484" w:rsidRDefault="004F5C0E" w:rsidP="002223B9">
      <w:r w:rsidRPr="00885484">
        <w:t>The PATHA Guideline recommendation states that ‘</w:t>
      </w:r>
      <w:r w:rsidRPr="00B011D4">
        <w:rPr>
          <w:i/>
          <w:iCs/>
        </w:rPr>
        <w:t>all health services provide equitable and accessible gender affirming healthcare services that align with international standards, evidence-based literature and community feedback</w:t>
      </w:r>
      <w:r w:rsidRPr="00885484">
        <w:t>.’ But the evidence that this applies to the development of their own standard is missing. Even with the proviso that WPATH’s SOC 7 is not strictly an evidence based guideline</w:t>
      </w:r>
      <w:r w:rsidR="00B5474B" w:rsidRPr="00885484">
        <w:t xml:space="preserve"> either</w:t>
      </w:r>
      <w:r w:rsidRPr="00885484">
        <w:t>, there is no reason why local guidelines should not provide a locally appropriate version of an international guideline as the BPAC process describes.</w:t>
      </w:r>
      <w:r w:rsidRPr="00885484">
        <w:fldChar w:fldCharType="begin"/>
      </w:r>
      <w:r w:rsidRPr="00885484">
        <w:instrText xml:space="preserve"> ADDIN ZOTERO_ITEM CSL_CITATION {"citationID":"HNpaxy2S","properties":{"formattedCitation":"(BPACNZ, n.d.)","plainCitation":"(BPACNZ, n.d.)","noteIndex":0},"citationItems":[{"id":11677,"uris":["http://zotero.org/groups/4882545/items/RFDPIMQL"],"itemData":{"id":11677,"type":"report","abstract":"Allows overseas guiudelines to be propduced for NZ","publisher":"BPACNZ","title":"Guideline development process","URL":"https://bpac.org.nz/guidelines/development-process.html","author":[{"family":"BPACNZ","given":""}],"accessed":{"date-parts":[["2023",7,11]]}}}],"schema":"https://github.com/citation-style-language/schema/raw/master/csl-citation.json"} </w:instrText>
      </w:r>
      <w:r w:rsidRPr="00885484">
        <w:fldChar w:fldCharType="separate"/>
      </w:r>
      <w:r w:rsidRPr="00885484">
        <w:t>(BPACNZ, n.d.)</w:t>
      </w:r>
      <w:r w:rsidRPr="00885484">
        <w:fldChar w:fldCharType="end"/>
      </w:r>
      <w:r w:rsidRPr="00885484">
        <w:t xml:space="preserve"> </w:t>
      </w:r>
    </w:p>
    <w:p w14:paraId="6D69EA0C" w14:textId="1D107D12" w:rsidR="004F5C0E" w:rsidRPr="00885484" w:rsidRDefault="004F5C0E" w:rsidP="002223B9">
      <w:r w:rsidRPr="00885484">
        <w:t>Finally, based on these findings, the authors’ suggestion that their work should ‘</w:t>
      </w:r>
      <w:r w:rsidRPr="00B011D4">
        <w:rPr>
          <w:i/>
          <w:iCs/>
        </w:rPr>
        <w:t>support the development of health services providing gender affirming healthcare around the country and provide guidance to District Health Boards (DHBs)</w:t>
      </w:r>
      <w:r w:rsidRPr="00885484">
        <w:t xml:space="preserve">’ should surely have been called into question in the 5 years since its publication. </w:t>
      </w:r>
    </w:p>
    <w:p w14:paraId="3C37B931" w14:textId="4A59D2B0" w:rsidR="001B2674" w:rsidRDefault="00EC7FD7" w:rsidP="00885484">
      <w:pPr>
        <w:pStyle w:val="Heading2"/>
        <w:rPr>
          <w:lang w:val="mi-NZ"/>
        </w:rPr>
      </w:pPr>
      <w:bookmarkStart w:id="53" w:name="_Toc140574853"/>
      <w:bookmarkStart w:id="54" w:name="_Toc143668016"/>
      <w:bookmarkStart w:id="55" w:name="_Toc145238128"/>
      <w:bookmarkStart w:id="56" w:name="_Toc156044308"/>
      <w:r>
        <w:rPr>
          <w:lang w:val="mi-NZ"/>
        </w:rPr>
        <w:t>References</w:t>
      </w:r>
      <w:bookmarkEnd w:id="53"/>
      <w:bookmarkEnd w:id="54"/>
      <w:bookmarkEnd w:id="55"/>
      <w:bookmarkEnd w:id="56"/>
    </w:p>
    <w:p w14:paraId="2CBB1B5E" w14:textId="77777777" w:rsidR="00F12530" w:rsidRDefault="005164F2" w:rsidP="0009471C">
      <w:pPr>
        <w:pStyle w:val="Bibliography"/>
        <w:tabs>
          <w:tab w:val="left" w:pos="3969"/>
        </w:tabs>
      </w:pPr>
      <w:r>
        <w:rPr>
          <w:lang w:val="mi-NZ"/>
        </w:rPr>
        <w:fldChar w:fldCharType="begin"/>
      </w:r>
      <w:r w:rsidR="00F72F0F">
        <w:rPr>
          <w:lang w:val="mi-NZ"/>
        </w:rPr>
        <w:instrText xml:space="preserve"> ADDIN ZOTERO_BIBL {"uncited":[],"omitted":[],"custom":[]} CSL_BIBLIOGRAPHY </w:instrText>
      </w:r>
      <w:r>
        <w:rPr>
          <w:lang w:val="mi-NZ"/>
        </w:rPr>
        <w:fldChar w:fldCharType="separate"/>
      </w:r>
      <w:r w:rsidR="00F12530">
        <w:t xml:space="preserve">4thwavenow. (2016, September 29). Gender-affirmative therapist: Baby who hates barrettes = trans boy; questioning sterilization of 11-year olds same as denying cancer treatment. </w:t>
      </w:r>
      <w:r w:rsidR="00F12530">
        <w:rPr>
          <w:i/>
          <w:iCs/>
        </w:rPr>
        <w:t>4thWaveNow</w:t>
      </w:r>
      <w:r w:rsidR="00F12530">
        <w:t>. https://4thwavenow.com/2016/09/29/gender-affirmative-therapist-baby-who-hates-barrettes-trans-boy-questioning-sterilization-of-11-year-olds-same-as-denying-cancer-treatment/</w:t>
      </w:r>
    </w:p>
    <w:p w14:paraId="2115A92F" w14:textId="77777777" w:rsidR="00F12530" w:rsidRDefault="00F12530" w:rsidP="00F12530">
      <w:pPr>
        <w:pStyle w:val="Bibliography"/>
      </w:pPr>
      <w:r>
        <w:t xml:space="preserve">Abbasi, K. (2023). Caring for young people with gender dysphoria. </w:t>
      </w:r>
      <w:r>
        <w:rPr>
          <w:i/>
          <w:iCs/>
        </w:rPr>
        <w:t>BMJ</w:t>
      </w:r>
      <w:r>
        <w:t xml:space="preserve">, </w:t>
      </w:r>
      <w:r>
        <w:rPr>
          <w:i/>
          <w:iCs/>
        </w:rPr>
        <w:t>380</w:t>
      </w:r>
      <w:r>
        <w:t>, p553. https://doi.org/10.1136/bmj.p553</w:t>
      </w:r>
    </w:p>
    <w:p w14:paraId="57084737" w14:textId="77777777" w:rsidR="00F12530" w:rsidRDefault="00F12530" w:rsidP="00F12530">
      <w:pPr>
        <w:pStyle w:val="Bibliography"/>
      </w:pPr>
      <w:r>
        <w:t xml:space="preserve">Abbruzzese, E., Levine, S. B., &amp; Mason, J. W. (2023). The Myth of “Reliable Research” in Pediatric Gender Medicine: A critical evaluation of the Dutch Studies—and research that has followed. </w:t>
      </w:r>
      <w:r>
        <w:rPr>
          <w:i/>
          <w:iCs/>
        </w:rPr>
        <w:t>Journal of Sex &amp; Marital Therapy</w:t>
      </w:r>
      <w:r>
        <w:t xml:space="preserve">, </w:t>
      </w:r>
      <w:r>
        <w:rPr>
          <w:i/>
          <w:iCs/>
        </w:rPr>
        <w:t>0</w:t>
      </w:r>
      <w:r>
        <w:t>(0), 1–27. https://doi.org/10.1080/0092623X.2022.2150346</w:t>
      </w:r>
    </w:p>
    <w:p w14:paraId="73A0EC55" w14:textId="77777777" w:rsidR="00F12530" w:rsidRDefault="00F12530" w:rsidP="00F12530">
      <w:pPr>
        <w:pStyle w:val="Bibliography"/>
      </w:pPr>
      <w:r>
        <w:t xml:space="preserve">AGREE. (2017). </w:t>
      </w:r>
      <w:r>
        <w:rPr>
          <w:i/>
          <w:iCs/>
        </w:rPr>
        <w:t>AGREE II Users Manual and 23 item Instrument</w:t>
      </w:r>
      <w:r>
        <w:t>. https://www.agreetrust.org/wp-content/uploads/2017/12/AGREE-II-Users-Manual-and-23-item-Instrument-2009-Update-2017.pdf</w:t>
      </w:r>
    </w:p>
    <w:p w14:paraId="703835F1" w14:textId="77777777" w:rsidR="00F12530" w:rsidRDefault="00F12530" w:rsidP="00F12530">
      <w:pPr>
        <w:pStyle w:val="Bibliography"/>
      </w:pPr>
      <w:r>
        <w:lastRenderedPageBreak/>
        <w:t xml:space="preserve">ANZ Guideline Network. (2020, August 25). </w:t>
      </w:r>
      <w:r>
        <w:rPr>
          <w:i/>
          <w:iCs/>
        </w:rPr>
        <w:t>ANZ Guidelines</w:t>
      </w:r>
      <w:r>
        <w:t>. https://anz-guideline-network.webnode.page/anz-guidelines/</w:t>
      </w:r>
    </w:p>
    <w:p w14:paraId="377A6366" w14:textId="77777777" w:rsidR="00F12530" w:rsidRDefault="00F12530" w:rsidP="00F12530">
      <w:pPr>
        <w:pStyle w:val="Bibliography"/>
      </w:pPr>
      <w:r>
        <w:t xml:space="preserve">Bazelon, E. (2022, June 15). The Battle Over Gender Therapy. </w:t>
      </w:r>
      <w:r>
        <w:rPr>
          <w:i/>
          <w:iCs/>
        </w:rPr>
        <w:t>The New York Times</w:t>
      </w:r>
      <w:r>
        <w:t>. https://www.nytimes.com/2022/06/15/magazine/gender-therapy.html</w:t>
      </w:r>
    </w:p>
    <w:p w14:paraId="6D441BD7" w14:textId="77777777" w:rsidR="00F12530" w:rsidRDefault="00F12530" w:rsidP="00F12530">
      <w:pPr>
        <w:pStyle w:val="Bibliography"/>
      </w:pPr>
      <w:r>
        <w:t xml:space="preserve">Beatrice, L. (2020). </w:t>
      </w:r>
      <w:r>
        <w:rPr>
          <w:i/>
          <w:iCs/>
        </w:rPr>
        <w:t>The sex binary is not a ‘Western construct,’ gender identity is</w:t>
      </w:r>
      <w:r>
        <w:t>. Feminist Current. https://www.feministcurrent.com/2020/12/06/the-sex-binary-is-not-a-western-construct-gender-identity-is/</w:t>
      </w:r>
    </w:p>
    <w:p w14:paraId="68ECF480" w14:textId="77777777" w:rsidR="00F12530" w:rsidRDefault="00F12530" w:rsidP="00F12530">
      <w:pPr>
        <w:pStyle w:val="Bibliography"/>
      </w:pPr>
      <w:r>
        <w:t xml:space="preserve">Biggs, M. (2022). Full article: The Dutch Protocol for Juvenile Transsexuals: Origins and Evidence. </w:t>
      </w:r>
      <w:r>
        <w:rPr>
          <w:i/>
          <w:iCs/>
        </w:rPr>
        <w:t>Sex and Maital Therapy</w:t>
      </w:r>
      <w:r>
        <w:t>. https://www.tandfonline.com/doi/full/10.1080/0092623X.2022.2121238?cookieSet=1</w:t>
      </w:r>
    </w:p>
    <w:p w14:paraId="656CB3D4" w14:textId="77777777" w:rsidR="00F12530" w:rsidRDefault="00F12530" w:rsidP="00F12530">
      <w:pPr>
        <w:pStyle w:val="Bibliography"/>
      </w:pPr>
      <w:r>
        <w:t xml:space="preserve">Blaff, A. (2023, March 10). Norwegian Medical Watchdog Encourages Country to Ditch ’Gender-Affirming’Care Guidelines. </w:t>
      </w:r>
      <w:r>
        <w:rPr>
          <w:i/>
          <w:iCs/>
        </w:rPr>
        <w:t>National Review</w:t>
      </w:r>
      <w:r>
        <w:t>. https://www.nationalreview.com/news/norwegian-medical-watchdog-encourages-country-to-ditch-gender-affirming-care-guidelines/</w:t>
      </w:r>
    </w:p>
    <w:p w14:paraId="163BCA59" w14:textId="77777777" w:rsidR="00F12530" w:rsidRDefault="00F12530" w:rsidP="00F12530">
      <w:pPr>
        <w:pStyle w:val="Bibliography"/>
      </w:pPr>
      <w:r>
        <w:t xml:space="preserve">BPACNZ. (n.d.). </w:t>
      </w:r>
      <w:r>
        <w:rPr>
          <w:i/>
          <w:iCs/>
        </w:rPr>
        <w:t>Guideline development process</w:t>
      </w:r>
      <w:r>
        <w:t>. BPACNZ. Retrieved 11 July 2023, from https://bpac.org.nz/guidelines/development-process.html</w:t>
      </w:r>
    </w:p>
    <w:p w14:paraId="0ECE7541" w14:textId="77777777" w:rsidR="00F12530" w:rsidRDefault="00F12530" w:rsidP="00F12530">
      <w:pPr>
        <w:pStyle w:val="Bibliography"/>
      </w:pPr>
      <w:r>
        <w:t xml:space="preserve">Canadian Gender Report. (2020). </w:t>
      </w:r>
      <w:r>
        <w:rPr>
          <w:i/>
          <w:iCs/>
        </w:rPr>
        <w:t>The Swedish U-Turn on Gender Transitioning for Children</w:t>
      </w:r>
      <w:r>
        <w:t>. https://genderreport.ca/the-swedish-u-turn-on-gender-transitioning/</w:t>
      </w:r>
    </w:p>
    <w:p w14:paraId="2174E594" w14:textId="77777777" w:rsidR="00F12530" w:rsidRDefault="00F12530" w:rsidP="00F12530">
      <w:pPr>
        <w:pStyle w:val="Bibliography"/>
      </w:pPr>
      <w:r>
        <w:t xml:space="preserve">Cantor, J. M. (2018). </w:t>
      </w:r>
      <w:r>
        <w:rPr>
          <w:i/>
          <w:iCs/>
        </w:rPr>
        <w:t>American Academy of Pediatrics policy and trans- kids: Fact-checking</w:t>
      </w:r>
      <w:r>
        <w:t>. https://gdworkinggroup.org/2018/10/18/american-academy-of-pediatrics-policy-and-trans-kids-fact-checking/</w:t>
      </w:r>
    </w:p>
    <w:p w14:paraId="1C9823A1" w14:textId="77777777" w:rsidR="00F12530" w:rsidRDefault="00F12530" w:rsidP="00F12530">
      <w:pPr>
        <w:pStyle w:val="Bibliography"/>
      </w:pPr>
      <w:r>
        <w:t xml:space="preserve">Cass, H. (2022). </w:t>
      </w:r>
      <w:r>
        <w:rPr>
          <w:i/>
          <w:iCs/>
        </w:rPr>
        <w:t>Interim report – Cass Review</w:t>
      </w:r>
      <w:r>
        <w:t>. The Cass Review. https://cass.independent-review.uk/publications/interim-report/</w:t>
      </w:r>
    </w:p>
    <w:p w14:paraId="139B8832" w14:textId="77777777" w:rsidR="00F12530" w:rsidRDefault="00F12530" w:rsidP="00F12530">
      <w:pPr>
        <w:pStyle w:val="Bibliography"/>
      </w:pPr>
      <w:r>
        <w:t xml:space="preserve">Centre for Youth Health, &amp; Healthpoint. (n.d.). </w:t>
      </w:r>
      <w:r>
        <w:rPr>
          <w:i/>
          <w:iCs/>
        </w:rPr>
        <w:t>Hauora Tāhine—Pathways to Transgender Healthcare Services Healthpoint</w:t>
      </w:r>
      <w:r>
        <w:t>. Auckland District Health Board. Retrieved 18 August 2023, from https://www.healthpoint.co.nz/public/sexual-health/hauora-tahine-pathways-to-transgender-healthcare/</w:t>
      </w:r>
    </w:p>
    <w:p w14:paraId="50C49C30" w14:textId="77777777" w:rsidR="00F12530" w:rsidRDefault="00F12530" w:rsidP="00F12530">
      <w:pPr>
        <w:pStyle w:val="Bibliography"/>
      </w:pPr>
      <w:r>
        <w:t xml:space="preserve">COHERE. (2020). </w:t>
      </w:r>
      <w:r>
        <w:rPr>
          <w:i/>
          <w:iCs/>
        </w:rPr>
        <w:t>Medical treatment methods for dysphoria associated with variations in gender identity in minors – recommendation</w:t>
      </w:r>
      <w:r>
        <w:t>. Council for Choices in Health Care in Finland (COHERE Finland) ad. https://palveluvalikoima.fi/documents/1237350/22895008/Summary_minors_en+(1).pdf/fa2054c5-8c35-8492-59d6-b3de1c00de49/Summary_minors_en+(1).pdf?t=1631773838474</w:t>
      </w:r>
    </w:p>
    <w:p w14:paraId="21A8B5DB" w14:textId="77777777" w:rsidR="00F12530" w:rsidRDefault="00F12530" w:rsidP="00F12530">
      <w:pPr>
        <w:pStyle w:val="Bibliography"/>
      </w:pPr>
      <w:r>
        <w:t xml:space="preserve">Cohn, J. (2023). Rapid response to Gender dysphoria in young people is rising—And so is professional disagreement. </w:t>
      </w:r>
      <w:r>
        <w:rPr>
          <w:i/>
          <w:iCs/>
        </w:rPr>
        <w:t>BMJ</w:t>
      </w:r>
      <w:r>
        <w:t>. https://www.bmj.com/content/380/bmj.p382/rr-4</w:t>
      </w:r>
    </w:p>
    <w:p w14:paraId="605552EC" w14:textId="77777777" w:rsidR="00F12530" w:rsidRDefault="00F12530" w:rsidP="00F12530">
      <w:pPr>
        <w:pStyle w:val="Bibliography"/>
      </w:pPr>
      <w:r>
        <w:t xml:space="preserve">Coleman, E., Radix, A. E., Bouman, W. P., Brown, G. R., de Vries, A. L. C., Deutsch, M. B., Ettner, R., Fraser, L., Goodman, M., Green, J., Hancock, A. B., Johnson, T. W., Karasic, D. H., Knudson, G. A., Leibowitz, S. F., Meyer-Bahlburg, H. F. L., Monstrey, S. J., Motmans, J., Nahata, L., … Arcelus, J. (2022). Standards of Care for the Health of Transgender and Gender Diverse People, Version 8. </w:t>
      </w:r>
      <w:r>
        <w:rPr>
          <w:i/>
          <w:iCs/>
        </w:rPr>
        <w:t>International Journal of Transgender Health</w:t>
      </w:r>
      <w:r>
        <w:t xml:space="preserve">, </w:t>
      </w:r>
      <w:r>
        <w:rPr>
          <w:i/>
          <w:iCs/>
        </w:rPr>
        <w:t>23</w:t>
      </w:r>
      <w:r>
        <w:t>(sup1), S1–S259. https://doi.org/10.1080/26895269.2022.2100644</w:t>
      </w:r>
    </w:p>
    <w:p w14:paraId="445B02B3" w14:textId="77777777" w:rsidR="00F12530" w:rsidRDefault="00F12530" w:rsidP="00F12530">
      <w:pPr>
        <w:pStyle w:val="Bibliography"/>
      </w:pPr>
      <w:r>
        <w:t xml:space="preserve">Community &amp; Public Health. (2020). </w:t>
      </w:r>
      <w:r>
        <w:rPr>
          <w:i/>
          <w:iCs/>
        </w:rPr>
        <w:t>Using the Te Pae Māhutonga framework in public health</w:t>
      </w:r>
      <w:r>
        <w:t>. Community &amp; Public Health / Te Pae Māhutonga. https://www.cph.co.nz/about-us/te-pae-mahutonga/</w:t>
      </w:r>
    </w:p>
    <w:p w14:paraId="72835422" w14:textId="77777777" w:rsidR="00F12530" w:rsidRDefault="00F12530" w:rsidP="00F12530">
      <w:pPr>
        <w:pStyle w:val="Bibliography"/>
      </w:pPr>
      <w:r>
        <w:t xml:space="preserve">Counties Manukau DHB. (2011). </w:t>
      </w:r>
      <w:r>
        <w:rPr>
          <w:i/>
          <w:iCs/>
        </w:rPr>
        <w:t>Gender Reassignment Health Services for Trans People within New Zealand</w:t>
      </w:r>
      <w:r>
        <w:t>. 55. https://www.moh.govt.nz/notebook/nbbooks.nsf/0/255ADB3E32BC40EACC2578F5000AF05B/$file/gender-reassignment-health-services-for-trans-people-nz.pdf</w:t>
      </w:r>
    </w:p>
    <w:p w14:paraId="333F84A7" w14:textId="77777777" w:rsidR="00F12530" w:rsidRDefault="00F12530" w:rsidP="00F12530">
      <w:pPr>
        <w:pStyle w:val="Bibliography"/>
      </w:pPr>
      <w:r>
        <w:t xml:space="preserve">Coyle, C. (2021). </w:t>
      </w:r>
      <w:r>
        <w:rPr>
          <w:i/>
          <w:iCs/>
        </w:rPr>
        <w:t>Irish College of GPs reverses stance on puberty blockers</w:t>
      </w:r>
      <w:r>
        <w:t>. https://www.thetimes.co.uk/article/irish-college-of-gps-reverses-stance-on-puberty-blockers-nh7kj6xbm</w:t>
      </w:r>
    </w:p>
    <w:p w14:paraId="26D0CE84" w14:textId="77777777" w:rsidR="00F12530" w:rsidRDefault="00F12530" w:rsidP="00F12530">
      <w:pPr>
        <w:pStyle w:val="Bibliography"/>
      </w:pPr>
      <w:r>
        <w:t xml:space="preserve">Daalder, M. (2023). </w:t>
      </w:r>
      <w:r>
        <w:rPr>
          <w:i/>
          <w:iCs/>
        </w:rPr>
        <w:t>Trans health advice scrubbed following complaints</w:t>
      </w:r>
      <w:r>
        <w:t>. https://www.stuff.co.nz/national/health/300838494/trans-health-advice-scrubbed-following-complaints</w:t>
      </w:r>
    </w:p>
    <w:p w14:paraId="338F5B3F" w14:textId="77777777" w:rsidR="00F12530" w:rsidRDefault="00F12530" w:rsidP="00F12530">
      <w:pPr>
        <w:pStyle w:val="Bibliography"/>
      </w:pPr>
      <w:r>
        <w:t xml:space="preserve">Dahlen, S., Connolly, D., Arif, I., Junejo, M. H., Bewley, S., &amp; Meads, C. (2021). International clinical practice guidelines for gender minority/trans people: Systematic review and quality assessment. </w:t>
      </w:r>
      <w:r>
        <w:rPr>
          <w:i/>
          <w:iCs/>
        </w:rPr>
        <w:t>BMJ Open</w:t>
      </w:r>
      <w:r>
        <w:t xml:space="preserve">, </w:t>
      </w:r>
      <w:r>
        <w:rPr>
          <w:i/>
          <w:iCs/>
        </w:rPr>
        <w:t>11</w:t>
      </w:r>
      <w:r>
        <w:t>(4), e048943. https://doi.org/10.1136/bmjopen-2021-048943</w:t>
      </w:r>
    </w:p>
    <w:p w14:paraId="1DAC49B2" w14:textId="77777777" w:rsidR="00F12530" w:rsidRDefault="00F12530" w:rsidP="00F12530">
      <w:pPr>
        <w:pStyle w:val="Bibliography"/>
      </w:pPr>
      <w:r>
        <w:lastRenderedPageBreak/>
        <w:t xml:space="preserve">De Vries, A. L. C., McGuire, J. K., Steensma, T. D., Wagenaar, E. C. F., Doreleijers, T. A. H., &amp; Cohen-Kettenis, P. T. (2014). Young adult psychological outcome after puberty suppression and gender reassignment. </w:t>
      </w:r>
      <w:r>
        <w:rPr>
          <w:i/>
          <w:iCs/>
        </w:rPr>
        <w:t>Pediatrics</w:t>
      </w:r>
      <w:r>
        <w:t xml:space="preserve">, </w:t>
      </w:r>
      <w:r>
        <w:rPr>
          <w:i/>
          <w:iCs/>
        </w:rPr>
        <w:t>134</w:t>
      </w:r>
      <w:r>
        <w:t>(4), 696–704. https://doi.org/10.1542/peds.2013-2958</w:t>
      </w:r>
    </w:p>
    <w:p w14:paraId="7593E1EA" w14:textId="77777777" w:rsidR="00F12530" w:rsidRDefault="00F12530" w:rsidP="00F12530">
      <w:pPr>
        <w:pStyle w:val="Bibliography"/>
      </w:pPr>
      <w:r>
        <w:t xml:space="preserve">de Vries, A. L. C., Steensma, T. D., Doreleijers, T. A. H., &amp; Cohen-Kettenis, P. T. (2011). Puberty suppression in adolescents with gender identity disorder: A prospective follow-up study. </w:t>
      </w:r>
      <w:r>
        <w:rPr>
          <w:i/>
          <w:iCs/>
        </w:rPr>
        <w:t>The Journal of Sexual Medicine</w:t>
      </w:r>
      <w:r>
        <w:t xml:space="preserve">, </w:t>
      </w:r>
      <w:r>
        <w:rPr>
          <w:i/>
          <w:iCs/>
        </w:rPr>
        <w:t>8</w:t>
      </w:r>
      <w:r>
        <w:t>(8), 2276–2283. https://doi.org/10.1111/j.1743-6109.2010.01943.x</w:t>
      </w:r>
    </w:p>
    <w:p w14:paraId="454ECD50" w14:textId="77777777" w:rsidR="00F12530" w:rsidRDefault="00F12530" w:rsidP="00F12530">
      <w:pPr>
        <w:pStyle w:val="Bibliography"/>
      </w:pPr>
      <w:r>
        <w:t xml:space="preserve">Delahunt, J. W., Denison, H. J., Sim, D. A., Bullock, J. J., &amp; Krebs, J. D. (2018). Increasing rates of people identifying as transgender presenting to Endocrine Services in the Wellington region. </w:t>
      </w:r>
      <w:r>
        <w:rPr>
          <w:i/>
          <w:iCs/>
        </w:rPr>
        <w:t>New Zealand Medical Journal</w:t>
      </w:r>
      <w:r>
        <w:t xml:space="preserve">, </w:t>
      </w:r>
      <w:r>
        <w:rPr>
          <w:i/>
          <w:iCs/>
        </w:rPr>
        <w:t>131</w:t>
      </w:r>
      <w:r>
        <w:t>(1468), 10. https://www.nzma.org.nz/journal-articles/increasing-rates-of-people-identifying-as-transgender-presenting-to-endocrine-services-in-the-wellington-region</w:t>
      </w:r>
    </w:p>
    <w:p w14:paraId="0442D297" w14:textId="19D50E3C" w:rsidR="00894764" w:rsidRDefault="00894764" w:rsidP="001E6220">
      <w:pPr>
        <w:pStyle w:val="Bibliography"/>
      </w:pPr>
      <w:r>
        <w:t>Deutsch, M. B., Radix, A., &amp; Reisner, S. (2016). What’s in a Guideline? Developing Collaborative and Sound Research Designs that Substantiate Best Practice Recommendations for Transgender</w:t>
      </w:r>
      <w:r w:rsidR="001E6220">
        <w:t xml:space="preserve"> </w:t>
      </w:r>
      <w:r>
        <w:t>Health Care. AMA Journal of Ethics, 18(11), 1098–1106</w:t>
      </w:r>
      <w:r w:rsidR="00AB38C8">
        <w:t xml:space="preserve"> </w:t>
      </w:r>
      <w:r>
        <w:t>https://doi.org/10.1001/journalofethics.2016.18.11.stas1-1611</w:t>
      </w:r>
    </w:p>
    <w:p w14:paraId="7B2740EA" w14:textId="0C21B5A9" w:rsidR="00F12530" w:rsidRDefault="00F12530" w:rsidP="00F12530">
      <w:pPr>
        <w:pStyle w:val="Bibliography"/>
      </w:pPr>
      <w:r>
        <w:t xml:space="preserve">Dixon, H. (2023, January 13). NHS Trust taking over trans children care from Tavistock ‘being trained by Mermaids’. </w:t>
      </w:r>
      <w:r>
        <w:rPr>
          <w:i/>
          <w:iCs/>
        </w:rPr>
        <w:t>The Telegraph</w:t>
      </w:r>
      <w:r>
        <w:t>. https://archive.md/ZqtjI</w:t>
      </w:r>
    </w:p>
    <w:p w14:paraId="2BF23C75" w14:textId="77777777" w:rsidR="00F12530" w:rsidRDefault="00F12530" w:rsidP="00F12530">
      <w:pPr>
        <w:pStyle w:val="Bibliography"/>
      </w:pPr>
      <w:r>
        <w:t xml:space="preserve">Ehrensaft, D. (2017). Gender nonconforming youth: Current perspectives. </w:t>
      </w:r>
      <w:r>
        <w:rPr>
          <w:i/>
          <w:iCs/>
        </w:rPr>
        <w:t>Adolescent Health, Medicine and Therapeutics</w:t>
      </w:r>
      <w:r>
        <w:t xml:space="preserve">, </w:t>
      </w:r>
      <w:r>
        <w:rPr>
          <w:i/>
          <w:iCs/>
        </w:rPr>
        <w:t>8</w:t>
      </w:r>
      <w:r>
        <w:t>, 57–67. https://doi.org/10.2147/AHMT.S110859</w:t>
      </w:r>
    </w:p>
    <w:p w14:paraId="07061A44" w14:textId="77777777" w:rsidR="00F12530" w:rsidRDefault="00F12530" w:rsidP="00F12530">
      <w:pPr>
        <w:pStyle w:val="Bibliography"/>
      </w:pPr>
      <w:r>
        <w:t xml:space="preserve">Ehrensaft, D. (Director). (2016, October 8). </w:t>
      </w:r>
      <w:r>
        <w:rPr>
          <w:i/>
          <w:iCs/>
        </w:rPr>
        <w:t>Apples, Oranges, and Fruit Salad: Sorting Out Transgender, Gender Diverse, and Beyond Gender Children and Youth</w:t>
      </w:r>
      <w:r>
        <w:t>. https://vimeo.com/186051984</w:t>
      </w:r>
    </w:p>
    <w:p w14:paraId="102A5A4E" w14:textId="77777777" w:rsidR="00F12530" w:rsidRDefault="00F12530" w:rsidP="00F12530">
      <w:pPr>
        <w:pStyle w:val="Bibliography"/>
      </w:pPr>
      <w:r>
        <w:t xml:space="preserve">Ehrensaft, D. (Director). (2019). </w:t>
      </w:r>
      <w:r>
        <w:rPr>
          <w:i/>
          <w:iCs/>
        </w:rPr>
        <w:t>Barrettes: Diane Ehrensaft</w:t>
      </w:r>
      <w:r>
        <w:t>. https://vimeo.com/185149379</w:t>
      </w:r>
    </w:p>
    <w:p w14:paraId="43D70D45" w14:textId="77777777" w:rsidR="00F12530" w:rsidRDefault="00F12530" w:rsidP="00F12530">
      <w:pPr>
        <w:pStyle w:val="Bibliography"/>
      </w:pPr>
      <w:r>
        <w:t xml:space="preserve">Endocrine Society, &amp; Hembree, W. C. (2017). Endocrine Treatment of Gender-Dysphoric/Gender-Incongruent Persons: An Endocrine Society* Clinical Practice Guideline. </w:t>
      </w:r>
      <w:r>
        <w:rPr>
          <w:i/>
          <w:iCs/>
        </w:rPr>
        <w:t>The Journal of Clinical Endocrinology &amp; Metabolism</w:t>
      </w:r>
      <w:r>
        <w:t>. https://academic.oup.com/jcem/article/102/11/3869/4157558</w:t>
      </w:r>
    </w:p>
    <w:p w14:paraId="2C24ECFB" w14:textId="77777777" w:rsidR="00F12530" w:rsidRDefault="00F12530" w:rsidP="00F12530">
      <w:pPr>
        <w:pStyle w:val="Bibliography"/>
      </w:pPr>
      <w:r>
        <w:t xml:space="preserve">Gender Minorities Aotearoa. (2021, May 11). </w:t>
      </w:r>
      <w:r>
        <w:rPr>
          <w:i/>
          <w:iCs/>
        </w:rPr>
        <w:t>Supporting transgender people: Online course</w:t>
      </w:r>
      <w:r>
        <w:t>. Gender Minorities Aotearoa. https://genderminorities.com/2021/05/11/supporting-transgender-people-online-course/</w:t>
      </w:r>
    </w:p>
    <w:p w14:paraId="1FA415A7" w14:textId="77777777" w:rsidR="00F12530" w:rsidRDefault="00F12530" w:rsidP="00F12530">
      <w:pPr>
        <w:pStyle w:val="Bibliography"/>
      </w:pPr>
      <w:r>
        <w:t xml:space="preserve">Gower, P., &amp; Wilkins, A. (2023). Puberty blocker drugs under review by Ministry of Health. </w:t>
      </w:r>
      <w:r>
        <w:rPr>
          <w:i/>
          <w:iCs/>
        </w:rPr>
        <w:t>Newshub</w:t>
      </w:r>
      <w:r>
        <w:t>. https://www.newshub.co.nz/home/new-zealand/2023/06/puberty-blocker-drugs-under-review-by-ministry-of-health.html</w:t>
      </w:r>
    </w:p>
    <w:p w14:paraId="74DF718B" w14:textId="77777777" w:rsidR="00F12530" w:rsidRDefault="00F12530" w:rsidP="00F12530">
      <w:pPr>
        <w:pStyle w:val="Bibliography"/>
      </w:pPr>
      <w:r>
        <w:t xml:space="preserve">Health and Disability Commission. (2012). </w:t>
      </w:r>
      <w:r>
        <w:rPr>
          <w:i/>
          <w:iCs/>
        </w:rPr>
        <w:t>A Report by the Health and Disability Commissioner (Case 10HDC00986)</w:t>
      </w:r>
      <w:r>
        <w:t>. https://www.hdc.org.nz/decisions/search-decisions/2012/10hdc00986/</w:t>
      </w:r>
    </w:p>
    <w:p w14:paraId="3B13E572" w14:textId="77777777" w:rsidR="00F12530" w:rsidRDefault="00F12530" w:rsidP="00F12530">
      <w:pPr>
        <w:pStyle w:val="Bibliography"/>
      </w:pPr>
      <w:r>
        <w:t xml:space="preserve">Heneghan, C. (2019). Gender-affirming hormone in children and adolescents. </w:t>
      </w:r>
      <w:r>
        <w:rPr>
          <w:i/>
          <w:iCs/>
        </w:rPr>
        <w:t>BMJ EBM Spotlight</w:t>
      </w:r>
      <w:r>
        <w:t>. https://blogs.bmj.com/bmjebmspotlight/2019/02/25/gender-affirming-hormone-in-children-and-adolescents-evidence-review/</w:t>
      </w:r>
    </w:p>
    <w:p w14:paraId="05561B50" w14:textId="77777777" w:rsidR="00F12530" w:rsidRDefault="00F12530" w:rsidP="00F12530">
      <w:pPr>
        <w:pStyle w:val="Bibliography"/>
      </w:pPr>
      <w:r>
        <w:t xml:space="preserve">InsideOUT. (2021, September 29). </w:t>
      </w:r>
      <w:r>
        <w:rPr>
          <w:i/>
          <w:iCs/>
        </w:rPr>
        <w:t>Mental Health &amp; Addiction</w:t>
      </w:r>
      <w:r>
        <w:t>. InsideOUT. https://insideout.org.nz/mental_health_addiction_services/</w:t>
      </w:r>
    </w:p>
    <w:p w14:paraId="536277D2" w14:textId="77777777" w:rsidR="00F12530" w:rsidRDefault="00F12530" w:rsidP="00F12530">
      <w:pPr>
        <w:pStyle w:val="Bibliography"/>
      </w:pPr>
      <w:r>
        <w:t xml:space="preserve">Kaltiala-Heino, R., Sumia, M., Työläjärvi, M., &amp; Lindberg, N. (2015). Two years of gender identity service for minors: Overrepresentation of natal girls with severe problems in adolescent development. </w:t>
      </w:r>
      <w:r>
        <w:rPr>
          <w:i/>
          <w:iCs/>
        </w:rPr>
        <w:t>Child and Adolescent Psychiatry and Mental Health</w:t>
      </w:r>
      <w:r>
        <w:t xml:space="preserve">, </w:t>
      </w:r>
      <w:r>
        <w:rPr>
          <w:i/>
          <w:iCs/>
        </w:rPr>
        <w:t>9</w:t>
      </w:r>
      <w:r>
        <w:t>. https://doi.org/10.1186/s13034-015-0042-y</w:t>
      </w:r>
    </w:p>
    <w:p w14:paraId="039B9021" w14:textId="77777777" w:rsidR="00F12530" w:rsidRDefault="00F12530" w:rsidP="00F12530">
      <w:pPr>
        <w:pStyle w:val="Bibliography"/>
      </w:pPr>
      <w:r>
        <w:t xml:space="preserve">Kay, J. (2019). An Interview With Lisa Littman, Who Coined the Term ‘Rapid Onset Gender Dysphoria’. </w:t>
      </w:r>
      <w:r>
        <w:rPr>
          <w:i/>
          <w:iCs/>
        </w:rPr>
        <w:t>Quillette</w:t>
      </w:r>
      <w:r>
        <w:t>. https://quillette.com/2019/03/19/an-interview-with-lisa-littman-who-coined-the-term-rapid-onset-gender-dysphoria/</w:t>
      </w:r>
    </w:p>
    <w:p w14:paraId="01F4F77E" w14:textId="77777777" w:rsidR="00F12530" w:rsidRDefault="00F12530" w:rsidP="00F12530">
      <w:pPr>
        <w:pStyle w:val="Bibliography"/>
      </w:pPr>
      <w:r>
        <w:t xml:space="preserve">Kerekere, E. (2017). </w:t>
      </w:r>
      <w:r>
        <w:rPr>
          <w:i/>
          <w:iCs/>
        </w:rPr>
        <w:t>Part of The Whānau: The Emergence of Takatāpui Identity</w:t>
      </w:r>
      <w:r>
        <w:t>. http://researcharchive.vuw.ac.nz/bitstream/handle/10063/6369/thesis_access.pdf?sequence=1</w:t>
      </w:r>
    </w:p>
    <w:p w14:paraId="2DC74469" w14:textId="77777777" w:rsidR="00F12530" w:rsidRDefault="00F12530" w:rsidP="00F12530">
      <w:pPr>
        <w:pStyle w:val="Bibliography"/>
      </w:pPr>
      <w:r>
        <w:t xml:space="preserve">Klotz, F. (2023, April 28). </w:t>
      </w:r>
      <w:r>
        <w:rPr>
          <w:i/>
          <w:iCs/>
        </w:rPr>
        <w:t>A Teen Gender-Care Debate Is Spreading Across Europe</w:t>
      </w:r>
      <w:r>
        <w:t>. The Atlantic. https://www.theatlantic.com/health/archive/2023/04/gender-affirming-care-debate-europe-dutch-protocol/673890/</w:t>
      </w:r>
    </w:p>
    <w:p w14:paraId="50984D5B" w14:textId="77777777" w:rsidR="00F12530" w:rsidRDefault="00F12530" w:rsidP="00F12530">
      <w:pPr>
        <w:pStyle w:val="Bibliography"/>
      </w:pPr>
      <w:r>
        <w:lastRenderedPageBreak/>
        <w:t xml:space="preserve">Kozlowska, K., Chudleigh, C., McClure, G., Maguire, A. M., &amp; Ambler, G. R. (2021). Attachment Patterns in Children and Adolescents With Gender Dysphoria. </w:t>
      </w:r>
      <w:r>
        <w:rPr>
          <w:i/>
          <w:iCs/>
        </w:rPr>
        <w:t>Frontiers in Psychology</w:t>
      </w:r>
      <w:r>
        <w:t xml:space="preserve">, </w:t>
      </w:r>
      <w:r>
        <w:rPr>
          <w:i/>
          <w:iCs/>
        </w:rPr>
        <w:t>11</w:t>
      </w:r>
      <w:r>
        <w:t>. https://doi.org/10.3389/fpsyg.2020.582688</w:t>
      </w:r>
    </w:p>
    <w:p w14:paraId="7DDC8B66" w14:textId="77777777" w:rsidR="00F12530" w:rsidRDefault="00F12530" w:rsidP="00F12530">
      <w:pPr>
        <w:pStyle w:val="Bibliography"/>
      </w:pPr>
      <w:r>
        <w:t xml:space="preserve">Landy, D. (2023, May 4). Fictionalizing Māori History in the Name of Gender Ideology. </w:t>
      </w:r>
      <w:r>
        <w:rPr>
          <w:i/>
          <w:iCs/>
        </w:rPr>
        <w:t>Quillette</w:t>
      </w:r>
      <w:r>
        <w:t>. https://quillette.com/2023/05/04/fictionalizing-indigenous-history-in-the-name-of-gender-activism/</w:t>
      </w:r>
    </w:p>
    <w:p w14:paraId="10DCC51D" w14:textId="77777777" w:rsidR="00F12530" w:rsidRDefault="00F12530" w:rsidP="00F12530">
      <w:pPr>
        <w:pStyle w:val="Bibliography"/>
      </w:pPr>
      <w:r>
        <w:t xml:space="preserve">Lane, B. (2023a, May 9). </w:t>
      </w:r>
      <w:r>
        <w:rPr>
          <w:i/>
          <w:iCs/>
        </w:rPr>
        <w:t>Doubt in Denmark</w:t>
      </w:r>
      <w:r>
        <w:t>. https://www.genderclinicnews.com/p/doubt-in-denmark</w:t>
      </w:r>
    </w:p>
    <w:p w14:paraId="0082A329" w14:textId="77777777" w:rsidR="00F12530" w:rsidRDefault="00F12530" w:rsidP="00F12530">
      <w:pPr>
        <w:pStyle w:val="Bibliography"/>
      </w:pPr>
      <w:r>
        <w:t xml:space="preserve">Lane, B. (2023b, July 14). Blocked &amp; retorted [Substack newsletter]. </w:t>
      </w:r>
      <w:r>
        <w:rPr>
          <w:i/>
          <w:iCs/>
        </w:rPr>
        <w:t>Gender Clinic News</w:t>
      </w:r>
      <w:r>
        <w:t>. https://genderclinicnews.substack.com/p/blocked-and-retorted</w:t>
      </w:r>
    </w:p>
    <w:p w14:paraId="2EBA0329" w14:textId="77777777" w:rsidR="00F12530" w:rsidRDefault="00F12530" w:rsidP="00F12530">
      <w:pPr>
        <w:pStyle w:val="Bibliography"/>
      </w:pPr>
      <w:r>
        <w:t xml:space="preserve">Lane, B. (2023c, August 6). Second opinion. </w:t>
      </w:r>
      <w:r>
        <w:rPr>
          <w:i/>
          <w:iCs/>
        </w:rPr>
        <w:t>Gender Clinic News</w:t>
      </w:r>
      <w:r>
        <w:t>. https://www.genderclinicnews.com/p/second-opinion</w:t>
      </w:r>
    </w:p>
    <w:p w14:paraId="3117F644" w14:textId="77777777" w:rsidR="00F12530" w:rsidRDefault="00F12530" w:rsidP="00F12530">
      <w:pPr>
        <w:pStyle w:val="Bibliography"/>
      </w:pPr>
      <w:r>
        <w:t xml:space="preserve">Leibowitz, S., &amp; de Vries, A. L. C. (2016). Gender dysphoria in adolescence. </w:t>
      </w:r>
      <w:r>
        <w:rPr>
          <w:i/>
          <w:iCs/>
        </w:rPr>
        <w:t>International Review of Psychiatry</w:t>
      </w:r>
      <w:r>
        <w:t xml:space="preserve">, </w:t>
      </w:r>
      <w:r>
        <w:rPr>
          <w:i/>
          <w:iCs/>
        </w:rPr>
        <w:t>28</w:t>
      </w:r>
      <w:r>
        <w:t>(1), 21–35. https://doi.org/10.3109/09540261.2015.1124844</w:t>
      </w:r>
    </w:p>
    <w:p w14:paraId="7F4F60C9" w14:textId="77777777" w:rsidR="00F12530" w:rsidRDefault="00F12530" w:rsidP="00F12530">
      <w:pPr>
        <w:pStyle w:val="Bibliography"/>
      </w:pPr>
      <w:r>
        <w:t xml:space="preserve">Levine, S. B., Abbruzzese, E., &amp; Mason, J. W. (2022). Reconsidering Informed Consent for Trans-Identified Children, Adolescents, and Young Adults. </w:t>
      </w:r>
      <w:r>
        <w:rPr>
          <w:i/>
          <w:iCs/>
        </w:rPr>
        <w:t>Journal of Sex &amp; Marital Therapy</w:t>
      </w:r>
      <w:r>
        <w:t xml:space="preserve">, </w:t>
      </w:r>
      <w:r>
        <w:rPr>
          <w:i/>
          <w:iCs/>
        </w:rPr>
        <w:t>0</w:t>
      </w:r>
      <w:r>
        <w:t>(0), 1–22. https://doi.org/10.1080/0092623X.2022.2046221</w:t>
      </w:r>
    </w:p>
    <w:p w14:paraId="2340EB8E" w14:textId="77777777" w:rsidR="00F12530" w:rsidRDefault="00F12530" w:rsidP="00F12530">
      <w:pPr>
        <w:pStyle w:val="Bibliography"/>
      </w:pPr>
      <w:r>
        <w:t xml:space="preserve">Mana Wāhine Kōrero, M. W. (2023, April 11). Mana Wāhine Kōrero Response to (now deleted) Stuff article Vs. Sean Plunket—Plain Sight—Mana Wāhine Kōrero. </w:t>
      </w:r>
      <w:r>
        <w:rPr>
          <w:i/>
          <w:iCs/>
        </w:rPr>
        <w:t>Plain Sight</w:t>
      </w:r>
      <w:r>
        <w:t>. https://plainsight.nz/?p=732</w:t>
      </w:r>
    </w:p>
    <w:p w14:paraId="0C997171" w14:textId="77777777" w:rsidR="00F12530" w:rsidRDefault="00F12530" w:rsidP="00F12530">
      <w:pPr>
        <w:pStyle w:val="Bibliography"/>
      </w:pPr>
      <w:r>
        <w:t xml:space="preserve">Manjra, I. I., Russell, I., Maninger, J. K., &amp; Masic, U. (2022). Service user engagement by ethnicity groups at a children’s gender identity service in the UK. </w:t>
      </w:r>
      <w:r>
        <w:rPr>
          <w:i/>
          <w:iCs/>
        </w:rPr>
        <w:t>Clinical Child Psychology and Psychiatry</w:t>
      </w:r>
      <w:r>
        <w:t xml:space="preserve">, </w:t>
      </w:r>
      <w:r>
        <w:rPr>
          <w:i/>
          <w:iCs/>
        </w:rPr>
        <w:t>27</w:t>
      </w:r>
      <w:r>
        <w:t>(4), 1091–1105. https://doi.org/10.1177/13591045221102650</w:t>
      </w:r>
    </w:p>
    <w:p w14:paraId="75A1C122" w14:textId="77777777" w:rsidR="00F12530" w:rsidRDefault="00F12530" w:rsidP="00F12530">
      <w:pPr>
        <w:pStyle w:val="Bibliography"/>
      </w:pPr>
      <w:r>
        <w:t xml:space="preserve">Medsafe. (2020). </w:t>
      </w:r>
      <w:r>
        <w:rPr>
          <w:i/>
          <w:iCs/>
        </w:rPr>
        <w:t>Unapproved Medicines</w:t>
      </w:r>
      <w:r>
        <w:t>. https://www.medsafe.govt.nz/profs/riss/unapp.asp</w:t>
      </w:r>
    </w:p>
    <w:p w14:paraId="597B2152" w14:textId="77777777" w:rsidR="00F12530" w:rsidRDefault="00F12530" w:rsidP="00F12530">
      <w:pPr>
        <w:pStyle w:val="Bibliography"/>
      </w:pPr>
      <w:r>
        <w:t xml:space="preserve">Ministry of Health NZ. (n.d.). </w:t>
      </w:r>
      <w:r>
        <w:rPr>
          <w:i/>
          <w:iCs/>
        </w:rPr>
        <w:t>Māori health models – Te Whare Tapa Whā</w:t>
      </w:r>
      <w:r>
        <w:t>. Retrieved 19 July 2023, from https://www.health.govt.nz/our-work/populations/maori-health/maori-health-models/maori-health-models-te-whare-tapa-wha</w:t>
      </w:r>
    </w:p>
    <w:p w14:paraId="63BA3D40" w14:textId="77777777" w:rsidR="00F12530" w:rsidRDefault="00F12530" w:rsidP="00F12530">
      <w:pPr>
        <w:pStyle w:val="Bibliography"/>
      </w:pPr>
      <w:r>
        <w:t xml:space="preserve">Morris, P. (2021). </w:t>
      </w:r>
      <w:r>
        <w:rPr>
          <w:i/>
          <w:iCs/>
        </w:rPr>
        <w:t>Managing Gender Dysphoria/Incongruence in Young People: A Guide for Health Practitioners</w:t>
      </w:r>
      <w:r>
        <w:t>. National Association of Practising Psychiatrists. https://napp.org.au/2021/05/managing-gender-dysphoria-incongruence-in-young-people-a-guide-for-health-practitioners/</w:t>
      </w:r>
    </w:p>
    <w:p w14:paraId="7ACCA0C1" w14:textId="77777777" w:rsidR="00F12530" w:rsidRDefault="00F12530" w:rsidP="00F12530">
      <w:pPr>
        <w:pStyle w:val="Bibliography"/>
      </w:pPr>
      <w:r>
        <w:t xml:space="preserve">Nainggolan, L., &amp; Ault, A. (2022). Pediatricians at Odds Over Gender-Affirming Care for Trans Kids. </w:t>
      </w:r>
      <w:r>
        <w:rPr>
          <w:i/>
          <w:iCs/>
        </w:rPr>
        <w:t>Medscape Medical News</w:t>
      </w:r>
      <w:r>
        <w:t>. https://www.medscape.com/viewarticle/979262</w:t>
      </w:r>
    </w:p>
    <w:p w14:paraId="17400A85" w14:textId="77777777" w:rsidR="00F12530" w:rsidRDefault="00F12530" w:rsidP="00F12530">
      <w:pPr>
        <w:pStyle w:val="Bibliography"/>
      </w:pPr>
      <w:r>
        <w:t xml:space="preserve">National Academies. (2011). </w:t>
      </w:r>
      <w:r>
        <w:rPr>
          <w:i/>
          <w:iCs/>
        </w:rPr>
        <w:t>Clinical Practice Guidelines we can trust.</w:t>
      </w:r>
      <w:r>
        <w:t xml:space="preserve"> National Academies. https://nap.nationalacademies.org/download/13058</w:t>
      </w:r>
    </w:p>
    <w:p w14:paraId="0EE05448" w14:textId="77777777" w:rsidR="00F12530" w:rsidRDefault="00F12530" w:rsidP="00F12530">
      <w:pPr>
        <w:pStyle w:val="Bibliography"/>
      </w:pPr>
      <w:r>
        <w:t xml:space="preserve">National Institute for Health and Care Excellence. (2020). </w:t>
      </w:r>
      <w:r>
        <w:rPr>
          <w:i/>
          <w:iCs/>
        </w:rPr>
        <w:t>Nice Evidence Reviews – Cass Review</w:t>
      </w:r>
      <w:r>
        <w:t>. National Institute for Health and Care Excellence. https://cass.independent-review.uk/nice-evidence-reviews/</w:t>
      </w:r>
    </w:p>
    <w:p w14:paraId="4F0DF7F7" w14:textId="77777777" w:rsidR="00F12530" w:rsidRDefault="00F12530" w:rsidP="00F12530">
      <w:pPr>
        <w:pStyle w:val="Bibliography"/>
      </w:pPr>
      <w:r>
        <w:t xml:space="preserve">New Zealand Medical Council. (2020). </w:t>
      </w:r>
      <w:r>
        <w:rPr>
          <w:i/>
          <w:iCs/>
        </w:rPr>
        <w:t>Statement on good prescribing practice.</w:t>
      </w:r>
      <w:r>
        <w:t xml:space="preserve"> New Zealand Medical Council. https://www.mcnz.org.nz/assets/standards/ceae513c85/Statement-on-good-prescribing-practice.pdf</w:t>
      </w:r>
    </w:p>
    <w:p w14:paraId="65EEA634" w14:textId="77777777" w:rsidR="00F12530" w:rsidRDefault="00F12530" w:rsidP="00F12530">
      <w:pPr>
        <w:pStyle w:val="Bibliography"/>
      </w:pPr>
      <w:r>
        <w:t xml:space="preserve">NZ Health Partnerships Limited. (2023). </w:t>
      </w:r>
      <w:r>
        <w:rPr>
          <w:i/>
          <w:iCs/>
        </w:rPr>
        <w:t>Training and workforce development programmes to improve primary and community health workforce responsiveness to transgender patients</w:t>
      </w:r>
      <w:r>
        <w:t>. Government Electronic Tendering Service. https://www.gets.govt.nz/HBL/ExternalTenderDetails.htm?id=26800275</w:t>
      </w:r>
    </w:p>
    <w:p w14:paraId="0F6B132D" w14:textId="77777777" w:rsidR="00F12530" w:rsidRDefault="00F12530" w:rsidP="00F12530">
      <w:pPr>
        <w:pStyle w:val="Bibliography"/>
      </w:pPr>
      <w:r>
        <w:t xml:space="preserve">Oliphant, J., Veale, J. F., MacDonald, J., Carroll, R., Harte, M., Stephenson, C., &amp; Bullock, J. J. (2018). </w:t>
      </w:r>
      <w:r>
        <w:rPr>
          <w:i/>
          <w:iCs/>
        </w:rPr>
        <w:t>Guidelines for gender affirming healthcare for gender diverse and transgender children, young people and adults in Aotearoa.</w:t>
      </w:r>
      <w:r>
        <w:t xml:space="preserve"> Transgender Health Research Lab, University of Waikato,. https://researchcommons.waikato.ac.nz/bitstream/handle/10289/12160/Guidelines%20for%20Gender%20Affirming%20Health%20low%20res.pdf</w:t>
      </w:r>
    </w:p>
    <w:p w14:paraId="19CB699C" w14:textId="77777777" w:rsidR="00F12530" w:rsidRDefault="00F12530" w:rsidP="00F12530">
      <w:pPr>
        <w:pStyle w:val="Bibliography"/>
      </w:pPr>
      <w:r>
        <w:t xml:space="preserve">Pember, M. A. (2016, October 26). ‘Two Spirit’ Tradition Far From Ubiquitous Among Tribes. </w:t>
      </w:r>
      <w:r>
        <w:rPr>
          <w:i/>
          <w:iCs/>
        </w:rPr>
        <w:t>Rewire.News</w:t>
      </w:r>
      <w:r>
        <w:t>. https://rewire.news/article/2016/10/13/two-spirit-tradition-far-ubiquitous-among-tribes/</w:t>
      </w:r>
    </w:p>
    <w:p w14:paraId="2B9F4B5B" w14:textId="77777777" w:rsidR="00F12530" w:rsidRDefault="00F12530" w:rsidP="00F12530">
      <w:pPr>
        <w:pStyle w:val="Bibliography"/>
      </w:pPr>
      <w:r>
        <w:t xml:space="preserve">Resist Gender Education. (2023). </w:t>
      </w:r>
      <w:r>
        <w:rPr>
          <w:i/>
          <w:iCs/>
        </w:rPr>
        <w:t>Secret Transition at School</w:t>
      </w:r>
      <w:r>
        <w:t>. Resist Gender Education. https://www.resistgendereducation.nz/information/secret-transition-at-school</w:t>
      </w:r>
    </w:p>
    <w:p w14:paraId="191AB90E" w14:textId="3BBA8C8B" w:rsidR="00F12530" w:rsidRDefault="00F12530" w:rsidP="00F12530">
      <w:pPr>
        <w:pStyle w:val="Bibliography"/>
      </w:pPr>
      <w:r>
        <w:lastRenderedPageBreak/>
        <w:t xml:space="preserve">Rivers, J. (2023). </w:t>
      </w:r>
      <w:r>
        <w:rPr>
          <w:i/>
          <w:iCs/>
        </w:rPr>
        <w:t>Professional Associations with gender care standards and their rebuttals</w:t>
      </w:r>
      <w:r>
        <w:t xml:space="preserve">. </w:t>
      </w:r>
      <w:bookmarkStart w:id="57" w:name="_Hlk156040064"/>
      <w:r w:rsidR="007A1C9E" w:rsidRPr="007A1C9E">
        <w:t>https://www.publicgood.org.nz/wp/wp-content/uploads/2024/01/table-claims-refuted.pdf.docx</w:t>
      </w:r>
      <w:bookmarkEnd w:id="57"/>
    </w:p>
    <w:p w14:paraId="3139FD24" w14:textId="77777777" w:rsidR="00F12530" w:rsidRDefault="00F12530" w:rsidP="00F12530">
      <w:pPr>
        <w:pStyle w:val="Bibliography"/>
      </w:pPr>
      <w:r>
        <w:t xml:space="preserve">Salmond, A. (2017). </w:t>
      </w:r>
      <w:r>
        <w:rPr>
          <w:i/>
          <w:iCs/>
        </w:rPr>
        <w:t>Tears of Rangi: Experiments across worlds</w:t>
      </w:r>
      <w:r>
        <w:t>. Auckland University Press.</w:t>
      </w:r>
    </w:p>
    <w:p w14:paraId="18B12A9E" w14:textId="77777777" w:rsidR="00F12530" w:rsidRDefault="00F12530" w:rsidP="00F12530">
      <w:pPr>
        <w:pStyle w:val="Bibliography"/>
      </w:pPr>
      <w:r>
        <w:t xml:space="preserve">SEGM. (2022, September 1). </w:t>
      </w:r>
      <w:r>
        <w:rPr>
          <w:i/>
          <w:iCs/>
        </w:rPr>
        <w:t>National Academy of Medicine in France Advises Caution in Pediatric Gender Transition</w:t>
      </w:r>
      <w:r>
        <w:t>. https://segm.org/France-cautions-regarding-puberty-blockers-and-cross-sex-hormones-for-youth</w:t>
      </w:r>
    </w:p>
    <w:p w14:paraId="5FBCAF63" w14:textId="77777777" w:rsidR="00F12530" w:rsidRDefault="00F12530" w:rsidP="00F12530">
      <w:pPr>
        <w:pStyle w:val="Bibliography"/>
      </w:pPr>
      <w:r>
        <w:t xml:space="preserve">Shrier, A. (2021, October 4). Top Trans Doctors Blow the Whistle on ‘Sloppy’ Care. </w:t>
      </w:r>
      <w:r>
        <w:rPr>
          <w:i/>
          <w:iCs/>
        </w:rPr>
        <w:t>The Free Press</w:t>
      </w:r>
      <w:r>
        <w:t>. https://www.thefp.com/p/top-trans-doctors-blow-the-whistle</w:t>
      </w:r>
    </w:p>
    <w:p w14:paraId="64A14773" w14:textId="77777777" w:rsidR="00F12530" w:rsidRDefault="00F12530" w:rsidP="00F12530">
      <w:pPr>
        <w:pStyle w:val="Bibliography"/>
      </w:pPr>
      <w:r>
        <w:t xml:space="preserve">Siemieniuk, R., &amp; Guyatt, G. (2016). </w:t>
      </w:r>
      <w:r>
        <w:rPr>
          <w:i/>
          <w:iCs/>
        </w:rPr>
        <w:t>What is GRADE?</w:t>
      </w:r>
      <w:r>
        <w:t xml:space="preserve"> (BMJ Best Practice). British Medical Journal. https://bestpractice.bmj.com/info/toolkit/learn-ebm/what-is-grade/</w:t>
      </w:r>
    </w:p>
    <w:p w14:paraId="289C9FD9" w14:textId="1BAD1263" w:rsidR="006C0510" w:rsidRPr="006C0510" w:rsidRDefault="006C0510" w:rsidP="006C0510">
      <w:pPr>
        <w:ind w:firstLine="709"/>
        <w:rPr>
          <w:sz w:val="20"/>
        </w:rPr>
      </w:pPr>
      <w:r w:rsidRPr="006C0510">
        <w:rPr>
          <w:sz w:val="20"/>
        </w:rPr>
        <w:t>Speak Up For Women. (2023). Ministry of Health Evidence Brief on Puberty Blockers. https://www.speakupforwomen.nz/post/ministry-of-health-evidence-brief-on-puberty-blockers</w:t>
      </w:r>
    </w:p>
    <w:p w14:paraId="1A3EE27E" w14:textId="77777777" w:rsidR="00F12530" w:rsidRDefault="00F12530" w:rsidP="00F12530">
      <w:pPr>
        <w:pStyle w:val="Bibliography"/>
      </w:pPr>
      <w:r>
        <w:t xml:space="preserve">Stats for Gender. (2022). </w:t>
      </w:r>
      <w:r>
        <w:rPr>
          <w:i/>
          <w:iCs/>
        </w:rPr>
        <w:t>Stats for Gender</w:t>
      </w:r>
      <w:r>
        <w:t>. Stats For Gender. http://www.statsforgender.org</w:t>
      </w:r>
    </w:p>
    <w:p w14:paraId="7983BBD5" w14:textId="77777777" w:rsidR="00F12530" w:rsidRDefault="00F12530" w:rsidP="00F12530">
      <w:pPr>
        <w:pStyle w:val="Bibliography"/>
      </w:pPr>
      <w:r>
        <w:t xml:space="preserve">Te Awekotuku, N. (1996). Māori: People and culture. In </w:t>
      </w:r>
      <w:r>
        <w:rPr>
          <w:i/>
          <w:iCs/>
        </w:rPr>
        <w:t>Māori: People and culture.</w:t>
      </w:r>
    </w:p>
    <w:p w14:paraId="4DC9E632" w14:textId="77777777" w:rsidR="00F12530" w:rsidRDefault="00F12530" w:rsidP="00F12530">
      <w:pPr>
        <w:pStyle w:val="Bibliography"/>
      </w:pPr>
      <w:r>
        <w:t xml:space="preserve">Te Whatu Ora. (2023a). </w:t>
      </w:r>
      <w:r>
        <w:rPr>
          <w:i/>
          <w:iCs/>
        </w:rPr>
        <w:t>The Gender Affirming (Genital) Surgery Service</w:t>
      </w:r>
      <w:r>
        <w:t>. Health New Zealand. https://www.tewhatuora.govt.nz/our-health-system/preventative-healthwellness/providing-health-services-for-transgender-people/the-gender-affirming-genital-surgery-service/</w:t>
      </w:r>
    </w:p>
    <w:p w14:paraId="5590E3E7" w14:textId="77777777" w:rsidR="00F12530" w:rsidRDefault="00F12530" w:rsidP="00F12530">
      <w:pPr>
        <w:pStyle w:val="Bibliography"/>
      </w:pPr>
      <w:r>
        <w:t xml:space="preserve">Te Whatu Ora. (2023b, April 24). </w:t>
      </w:r>
      <w:r>
        <w:rPr>
          <w:i/>
          <w:iCs/>
        </w:rPr>
        <w:t>Providing health services for transgender people – Te Whatu Ora—Health New Zealand</w:t>
      </w:r>
      <w:r>
        <w:t>. https://www.tewhatuora.govt.nz/our-health-system/preventative-healthwellness/providing-health-services-for-transgender-people/#resources-for-health-professionals</w:t>
      </w:r>
    </w:p>
    <w:p w14:paraId="328409A8" w14:textId="77777777" w:rsidR="00F12530" w:rsidRDefault="00F12530" w:rsidP="00F12530">
      <w:pPr>
        <w:pStyle w:val="Bibliography"/>
      </w:pPr>
      <w:r>
        <w:t xml:space="preserve">Telfer, M. M., Tollit, M. A., Pace, C. C., &amp; Pang, K. C. (2018). Australian standards of care and treatment guidelines for transgender and gender diverse children and adolescents. </w:t>
      </w:r>
      <w:r>
        <w:rPr>
          <w:i/>
          <w:iCs/>
        </w:rPr>
        <w:t>Medical Journal of Australia</w:t>
      </w:r>
      <w:r>
        <w:t xml:space="preserve">, </w:t>
      </w:r>
      <w:r>
        <w:rPr>
          <w:i/>
          <w:iCs/>
        </w:rPr>
        <w:t>209</w:t>
      </w:r>
      <w:r>
        <w:t>(3), 132–136. https://doi.org/10.5694/mja17.01044</w:t>
      </w:r>
    </w:p>
    <w:p w14:paraId="0E734BB9" w14:textId="77777777" w:rsidR="00F12530" w:rsidRDefault="00F12530" w:rsidP="00F12530">
      <w:pPr>
        <w:pStyle w:val="Bibliography"/>
      </w:pPr>
      <w:r>
        <w:t xml:space="preserve">Turner, M. (2023). </w:t>
      </w:r>
      <w:r>
        <w:rPr>
          <w:i/>
          <w:iCs/>
        </w:rPr>
        <w:t>Evidence-Based Practice in Health: Hierarchy of Evidence</w:t>
      </w:r>
      <w:r>
        <w:t>. University of Canberra. https://canberra.libguides.com/c.php?g=599346&amp;p=4149721</w:t>
      </w:r>
    </w:p>
    <w:p w14:paraId="782CBBF0" w14:textId="77777777" w:rsidR="00F12530" w:rsidRDefault="00F12530" w:rsidP="00F12530">
      <w:pPr>
        <w:pStyle w:val="Bibliography"/>
      </w:pPr>
      <w:r>
        <w:t xml:space="preserve">Verrall, A. (2022). </w:t>
      </w:r>
      <w:r>
        <w:rPr>
          <w:i/>
          <w:iCs/>
        </w:rPr>
        <w:t>Rainbow health gets funding boost</w:t>
      </w:r>
      <w:r>
        <w:t>. The Beehive. https://www.beehive.govt.nz/release/rainbow-health-gets-funding-boost</w:t>
      </w:r>
    </w:p>
    <w:p w14:paraId="6732EE2E" w14:textId="77777777" w:rsidR="00F12530" w:rsidRDefault="00F12530" w:rsidP="00F12530">
      <w:pPr>
        <w:pStyle w:val="Bibliography"/>
      </w:pPr>
      <w:r>
        <w:t xml:space="preserve">World Health Organisation. (2014). </w:t>
      </w:r>
      <w:r>
        <w:rPr>
          <w:i/>
          <w:iCs/>
        </w:rPr>
        <w:t>WHO handbook for guideline development, 2nd Edition</w:t>
      </w:r>
      <w:r>
        <w:t>. World Health Organisation. https://www.who.int/publications-detail-redirect/9789241548960</w:t>
      </w:r>
    </w:p>
    <w:p w14:paraId="27E84EA0" w14:textId="77777777" w:rsidR="00F12530" w:rsidRDefault="00F12530" w:rsidP="00F12530">
      <w:pPr>
        <w:pStyle w:val="Bibliography"/>
      </w:pPr>
      <w:r>
        <w:t xml:space="preserve">World Health Organisation, &amp; International Diabetes Federation. (2020). </w:t>
      </w:r>
      <w:r>
        <w:rPr>
          <w:i/>
          <w:iCs/>
        </w:rPr>
        <w:t>Diagnosis and Management of Type 2 Diabetes</w:t>
      </w:r>
      <w:r>
        <w:t>. World Health Organisation. https://apps.who.int/iris/rest/bitstreams/1274478/retrieve</w:t>
      </w:r>
    </w:p>
    <w:p w14:paraId="161D29E4" w14:textId="77777777" w:rsidR="00F12530" w:rsidRDefault="00F12530" w:rsidP="00F12530">
      <w:pPr>
        <w:pStyle w:val="Bibliography"/>
      </w:pPr>
      <w:r>
        <w:t xml:space="preserve">WPATH. (2012). </w:t>
      </w:r>
      <w:r>
        <w:rPr>
          <w:i/>
          <w:iCs/>
        </w:rPr>
        <w:t>Standards of Care for the Health of Transsexual, Transgender, and Gender Nonconforming People</w:t>
      </w:r>
      <w:r>
        <w:t>. https://www.wpath.org/media/cms/Documents/SOC%20v7/SOC%20V7_English.pdf</w:t>
      </w:r>
    </w:p>
    <w:p w14:paraId="4F2C821B" w14:textId="34D0B539" w:rsidR="008E2774" w:rsidRDefault="005164F2" w:rsidP="00885484">
      <w:pPr>
        <w:pStyle w:val="Heading2"/>
        <w:rPr>
          <w:lang w:val="mi-NZ"/>
        </w:rPr>
      </w:pPr>
      <w:r>
        <w:rPr>
          <w:lang w:val="mi-NZ"/>
        </w:rPr>
        <w:fldChar w:fldCharType="end"/>
      </w:r>
      <w:bookmarkStart w:id="58" w:name="_Toc143668014"/>
      <w:r w:rsidR="008E2774" w:rsidRPr="008E2774">
        <w:rPr>
          <w:lang w:val="mi-NZ"/>
        </w:rPr>
        <w:t xml:space="preserve"> </w:t>
      </w:r>
      <w:bookmarkStart w:id="59" w:name="_Toc145238129"/>
      <w:bookmarkStart w:id="60" w:name="_Toc156044309"/>
      <w:r w:rsidR="008E2774" w:rsidRPr="00664C97">
        <w:rPr>
          <w:lang w:val="mi-NZ"/>
        </w:rPr>
        <w:t>A</w:t>
      </w:r>
      <w:r w:rsidR="008E2774">
        <w:rPr>
          <w:lang w:val="mi-NZ"/>
        </w:rPr>
        <w:t>ppendix I The structure of the PATHA Guideline</w:t>
      </w:r>
      <w:bookmarkEnd w:id="58"/>
      <w:bookmarkEnd w:id="59"/>
      <w:bookmarkEnd w:id="60"/>
    </w:p>
    <w:p w14:paraId="798831ED" w14:textId="77777777" w:rsidR="008E2774" w:rsidRPr="008E5FE6" w:rsidRDefault="008E2774" w:rsidP="00885484">
      <w:r w:rsidRPr="008E5FE6">
        <w:t xml:space="preserve">The </w:t>
      </w:r>
      <w:r>
        <w:t>I</w:t>
      </w:r>
      <w:r w:rsidRPr="008E5FE6">
        <w:t>ntroduction</w:t>
      </w:r>
    </w:p>
    <w:p w14:paraId="78F0556B" w14:textId="77777777" w:rsidR="008E2774" w:rsidRPr="004B3F4F" w:rsidRDefault="008E2774" w:rsidP="006D64E1">
      <w:pPr>
        <w:pStyle w:val="ListParagraph"/>
        <w:rPr>
          <w:rFonts w:cs="Calibri"/>
          <w:kern w:val="0"/>
          <w:sz w:val="24"/>
          <w:szCs w:val="24"/>
          <w:lang w:eastAsia="en-US"/>
        </w:rPr>
      </w:pPr>
      <w:r w:rsidRPr="004B3F4F">
        <w:t>Discusses the increase in numbers but offers no explanation for them.</w:t>
      </w:r>
    </w:p>
    <w:p w14:paraId="3709E1AF" w14:textId="77777777" w:rsidR="008E2774" w:rsidRPr="004B3F4F" w:rsidRDefault="008E2774" w:rsidP="006D64E1">
      <w:pPr>
        <w:pStyle w:val="ListParagraph"/>
        <w:rPr>
          <w:lang w:eastAsia="en-US"/>
        </w:rPr>
      </w:pPr>
      <w:r w:rsidRPr="004B3F4F">
        <w:t xml:space="preserve">Explains that the older Guideline </w:t>
      </w:r>
      <w:r w:rsidRPr="004B3F4F">
        <w:rPr>
          <w:lang w:eastAsia="en-US"/>
        </w:rPr>
        <w:t xml:space="preserve">required updating to be in step with: a) current practice b) new international guidelines c) a care landscape that is evolving rapidly. </w:t>
      </w:r>
    </w:p>
    <w:p w14:paraId="1123BB23" w14:textId="77777777" w:rsidR="008E2774" w:rsidRPr="004B3F4F" w:rsidRDefault="008E2774" w:rsidP="006D64E1">
      <w:pPr>
        <w:pStyle w:val="ListParagraph"/>
        <w:rPr>
          <w:lang w:eastAsia="en-US"/>
        </w:rPr>
      </w:pPr>
      <w:r w:rsidRPr="004B3F4F">
        <w:rPr>
          <w:lang w:eastAsia="en-US"/>
        </w:rPr>
        <w:t xml:space="preserve">Explains the obligations and commitments that exist under the Treaty of Waitangi </w:t>
      </w:r>
    </w:p>
    <w:p w14:paraId="22CEE8E9" w14:textId="77777777" w:rsidR="008E2774" w:rsidRPr="004B3F4F" w:rsidRDefault="008E2774" w:rsidP="006D64E1">
      <w:pPr>
        <w:pStyle w:val="ListParagraph"/>
        <w:rPr>
          <w:lang w:eastAsia="en-US"/>
        </w:rPr>
      </w:pPr>
      <w:r w:rsidRPr="004B3F4F">
        <w:rPr>
          <w:lang w:eastAsia="en-US"/>
        </w:rPr>
        <w:t>Describes the importance of patient autonomy Te mana whakahaere: autonomy and community leadership -elements of a public health communication model.</w:t>
      </w:r>
    </w:p>
    <w:p w14:paraId="76C9F926" w14:textId="1E98E10B" w:rsidR="008E2774" w:rsidRPr="004B3F4F" w:rsidRDefault="008E2774" w:rsidP="006D64E1">
      <w:pPr>
        <w:pStyle w:val="ListParagraph"/>
        <w:rPr>
          <w:lang w:eastAsia="en-US"/>
        </w:rPr>
      </w:pPr>
      <w:r w:rsidRPr="004B3F4F">
        <w:rPr>
          <w:lang w:eastAsia="en-US"/>
        </w:rPr>
        <w:t xml:space="preserve">Explains Dr Mason Durie’s </w:t>
      </w:r>
      <w:r w:rsidR="00686AED">
        <w:rPr>
          <w:lang w:eastAsia="en-US"/>
        </w:rPr>
        <w:t>Te</w:t>
      </w:r>
      <w:r w:rsidRPr="004B3F4F">
        <w:rPr>
          <w:lang w:eastAsia="en-US"/>
        </w:rPr>
        <w:t xml:space="preserve"> Whare Tapa Wh</w:t>
      </w:r>
      <w:r w:rsidRPr="004B3F4F">
        <w:rPr>
          <w:rFonts w:cstheme="minorHAnsi"/>
          <w:lang w:eastAsia="en-US"/>
        </w:rPr>
        <w:t>ā</w:t>
      </w:r>
      <w:r w:rsidRPr="004B3F4F">
        <w:rPr>
          <w:lang w:eastAsia="en-US"/>
        </w:rPr>
        <w:t xml:space="preserve">. </w:t>
      </w:r>
    </w:p>
    <w:p w14:paraId="3D682416" w14:textId="77777777" w:rsidR="008E2774" w:rsidRPr="004B3F4F" w:rsidRDefault="008E2774" w:rsidP="006D64E1">
      <w:pPr>
        <w:pStyle w:val="ListParagraph"/>
        <w:rPr>
          <w:lang w:eastAsia="en-US"/>
        </w:rPr>
      </w:pPr>
      <w:r w:rsidRPr="004B3F4F">
        <w:rPr>
          <w:lang w:eastAsia="en-US"/>
        </w:rPr>
        <w:t>Makes recommendations for the provision of gender affirming healthcare.</w:t>
      </w:r>
    </w:p>
    <w:p w14:paraId="5F3D2E71" w14:textId="77777777" w:rsidR="008E2774" w:rsidRPr="004B3F4F" w:rsidRDefault="008E2774" w:rsidP="00885484">
      <w:r w:rsidRPr="004B3F4F">
        <w:rPr>
          <w:rFonts w:cs="Calibri"/>
          <w:kern w:val="0"/>
          <w:sz w:val="24"/>
          <w:szCs w:val="24"/>
          <w:lang w:eastAsia="en-US"/>
        </w:rPr>
        <w:lastRenderedPageBreak/>
        <w:t xml:space="preserve">Subsequent chapters cover issues related to gender medicine are ordered according to </w:t>
      </w:r>
      <w:r w:rsidRPr="004B3F4F">
        <w:rPr>
          <w:color w:val="000000"/>
        </w:rPr>
        <w:t>Nga Whare Tapa Wh</w:t>
      </w:r>
      <w:r w:rsidRPr="004B3F4F">
        <w:rPr>
          <w:rFonts w:cs="Calibri"/>
          <w:color w:val="000000"/>
        </w:rPr>
        <w:t xml:space="preserve">ā and each contains </w:t>
      </w:r>
      <w:r w:rsidRPr="004B3F4F">
        <w:t>practice points directed to medical practitioners and recommendations directed to District Health Boards as well as other guidance in the text.</w:t>
      </w:r>
    </w:p>
    <w:p w14:paraId="492B85B5" w14:textId="77777777" w:rsidR="008E2774" w:rsidRPr="004B3F4F" w:rsidRDefault="008E2774" w:rsidP="00885484">
      <w:r w:rsidRPr="004B3F4F">
        <w:t>Taha Wairua | spiritual health has the following sections.</w:t>
      </w:r>
    </w:p>
    <w:p w14:paraId="25B556BC" w14:textId="77777777" w:rsidR="008E2774" w:rsidRPr="004B3F4F" w:rsidRDefault="008E2774" w:rsidP="006D64E1">
      <w:pPr>
        <w:pStyle w:val="ListParagraph"/>
      </w:pPr>
      <w:r w:rsidRPr="004B3F4F">
        <w:t>Pre-colonial Māori society</w:t>
      </w:r>
    </w:p>
    <w:p w14:paraId="38CD25F1" w14:textId="77777777" w:rsidR="008E2774" w:rsidRPr="004B3F4F" w:rsidRDefault="008E2774" w:rsidP="006D64E1">
      <w:pPr>
        <w:pStyle w:val="ListParagraph"/>
      </w:pPr>
      <w:r w:rsidRPr="004B3F4F">
        <w:t>Aotearoa today and minority stress</w:t>
      </w:r>
    </w:p>
    <w:p w14:paraId="31355882" w14:textId="77777777" w:rsidR="008E2774" w:rsidRPr="004B3F4F" w:rsidRDefault="008E2774" w:rsidP="006D64E1">
      <w:pPr>
        <w:pStyle w:val="ListParagraph"/>
      </w:pPr>
      <w:r w:rsidRPr="004B3F4F">
        <w:t>Trans positive health services: flexible and responsive</w:t>
      </w:r>
    </w:p>
    <w:p w14:paraId="6691316A" w14:textId="77777777" w:rsidR="008E2774" w:rsidRPr="004B3F4F" w:rsidRDefault="008E2774" w:rsidP="006D64E1">
      <w:pPr>
        <w:pStyle w:val="ListParagraph"/>
      </w:pPr>
      <w:r w:rsidRPr="004B3F4F">
        <w:t>Social Transition</w:t>
      </w:r>
    </w:p>
    <w:p w14:paraId="6B21A691" w14:textId="77777777" w:rsidR="008E2774" w:rsidRPr="004B3F4F" w:rsidRDefault="008E2774" w:rsidP="006D64E1">
      <w:pPr>
        <w:pStyle w:val="ListParagraph"/>
      </w:pPr>
      <w:r w:rsidRPr="004B3F4F">
        <w:t>Practice Points</w:t>
      </w:r>
    </w:p>
    <w:p w14:paraId="04FFFA92" w14:textId="77777777" w:rsidR="008E2774" w:rsidRPr="004B3F4F" w:rsidRDefault="008E2774" w:rsidP="006D64E1">
      <w:pPr>
        <w:pStyle w:val="ListParagraph"/>
      </w:pPr>
      <w:r w:rsidRPr="004B3F4F">
        <w:t>Recommendations for trans positive health services</w:t>
      </w:r>
    </w:p>
    <w:p w14:paraId="6B3C6A1C" w14:textId="77777777" w:rsidR="008E2774" w:rsidRPr="004B3F4F" w:rsidRDefault="008E2774" w:rsidP="00885484">
      <w:r w:rsidRPr="004B3F4F">
        <w:t>Taha Whānau | family health has the following sections.</w:t>
      </w:r>
    </w:p>
    <w:p w14:paraId="07BFA16C" w14:textId="77777777" w:rsidR="008E2774" w:rsidRPr="004B3F4F" w:rsidRDefault="008E2774" w:rsidP="006D64E1">
      <w:pPr>
        <w:pStyle w:val="ListParagraph"/>
        <w:numPr>
          <w:ilvl w:val="0"/>
          <w:numId w:val="11"/>
        </w:numPr>
      </w:pPr>
      <w:r w:rsidRPr="004B3F4F">
        <w:t>Whānau and young people and practice points</w:t>
      </w:r>
    </w:p>
    <w:p w14:paraId="5DA0596A" w14:textId="77777777" w:rsidR="008E2774" w:rsidRPr="004B3F4F" w:rsidRDefault="008E2774" w:rsidP="006D64E1">
      <w:pPr>
        <w:pStyle w:val="ListParagraph"/>
        <w:numPr>
          <w:ilvl w:val="0"/>
          <w:numId w:val="11"/>
        </w:numPr>
      </w:pPr>
      <w:r w:rsidRPr="004B3F4F">
        <w:t>Gender diverse children</w:t>
      </w:r>
    </w:p>
    <w:p w14:paraId="6B9325A6" w14:textId="77777777" w:rsidR="008E2774" w:rsidRPr="004B3F4F" w:rsidRDefault="008E2774" w:rsidP="006D64E1">
      <w:pPr>
        <w:pStyle w:val="ListParagraph"/>
        <w:numPr>
          <w:ilvl w:val="0"/>
          <w:numId w:val="11"/>
        </w:numPr>
      </w:pPr>
      <w:r w:rsidRPr="004B3F4F">
        <w:t>Young people and practice points</w:t>
      </w:r>
    </w:p>
    <w:p w14:paraId="071851F6" w14:textId="77777777" w:rsidR="008E2774" w:rsidRPr="004B3F4F" w:rsidRDefault="008E2774" w:rsidP="006D64E1">
      <w:pPr>
        <w:pStyle w:val="ListParagraph"/>
        <w:numPr>
          <w:ilvl w:val="0"/>
          <w:numId w:val="11"/>
        </w:numPr>
      </w:pPr>
      <w:r w:rsidRPr="004B3F4F">
        <w:t>Schools and practice points for school health teams</w:t>
      </w:r>
    </w:p>
    <w:p w14:paraId="4B0CF932" w14:textId="77777777" w:rsidR="008E2774" w:rsidRPr="004B3F4F" w:rsidRDefault="008E2774" w:rsidP="006D64E1">
      <w:pPr>
        <w:pStyle w:val="ListParagraph"/>
        <w:numPr>
          <w:ilvl w:val="0"/>
          <w:numId w:val="11"/>
        </w:numPr>
      </w:pPr>
      <w:r w:rsidRPr="004B3F4F">
        <w:t>Partners and friends: young people and adults</w:t>
      </w:r>
    </w:p>
    <w:p w14:paraId="4BC0E129" w14:textId="77777777" w:rsidR="008E2774" w:rsidRPr="004B3F4F" w:rsidRDefault="008E2774" w:rsidP="006D64E1">
      <w:pPr>
        <w:pStyle w:val="ListParagraph"/>
        <w:numPr>
          <w:ilvl w:val="0"/>
          <w:numId w:val="11"/>
        </w:numPr>
      </w:pPr>
      <w:r w:rsidRPr="004B3F4F">
        <w:t>Whānau and self-determination and practice points</w:t>
      </w:r>
    </w:p>
    <w:p w14:paraId="418AAE3F" w14:textId="77777777" w:rsidR="008E2774" w:rsidRPr="004B3F4F" w:rsidRDefault="008E2774" w:rsidP="006D64E1">
      <w:pPr>
        <w:pStyle w:val="ListParagraph"/>
        <w:numPr>
          <w:ilvl w:val="0"/>
          <w:numId w:val="11"/>
        </w:numPr>
      </w:pPr>
      <w:r w:rsidRPr="004B3F4F">
        <w:t>Recommendations for services that are supportive of whānau</w:t>
      </w:r>
    </w:p>
    <w:p w14:paraId="004B8440" w14:textId="77777777" w:rsidR="008E2774" w:rsidRPr="004B3F4F" w:rsidRDefault="008E2774" w:rsidP="00885484">
      <w:r w:rsidRPr="004B3F4F">
        <w:t>Taha Hinengaro | mental health has the following sections.</w:t>
      </w:r>
    </w:p>
    <w:p w14:paraId="6C1D4B29" w14:textId="77777777" w:rsidR="008E2774" w:rsidRPr="004B3F4F" w:rsidRDefault="008E2774" w:rsidP="006D64E1">
      <w:pPr>
        <w:pStyle w:val="ListParagraph"/>
      </w:pPr>
      <w:r w:rsidRPr="004B3F4F">
        <w:t>The role of mental health professionals and practice points</w:t>
      </w:r>
    </w:p>
    <w:p w14:paraId="3AD961C7" w14:textId="77777777" w:rsidR="008E2774" w:rsidRPr="004B3F4F" w:rsidRDefault="008E2774" w:rsidP="006D64E1">
      <w:pPr>
        <w:pStyle w:val="ListParagraph"/>
      </w:pPr>
      <w:r w:rsidRPr="004B3F4F">
        <w:t>Neurodiversity and gender diversity and practice points</w:t>
      </w:r>
    </w:p>
    <w:p w14:paraId="4088D726" w14:textId="77777777" w:rsidR="008E2774" w:rsidRPr="004B3F4F" w:rsidRDefault="008E2774" w:rsidP="006D64E1">
      <w:pPr>
        <w:pStyle w:val="ListParagraph"/>
      </w:pPr>
      <w:r w:rsidRPr="004B3F4F">
        <w:t xml:space="preserve">Recommendations for supporting positive mental health </w:t>
      </w:r>
    </w:p>
    <w:p w14:paraId="5CB2AE0F" w14:textId="77777777" w:rsidR="008E2774" w:rsidRPr="004B3F4F" w:rsidRDefault="008E2774" w:rsidP="00885484">
      <w:r w:rsidRPr="004B3F4F">
        <w:t>Taha Tinana | physical health contains the following sections</w:t>
      </w:r>
    </w:p>
    <w:p w14:paraId="4DCC6CCF" w14:textId="77777777" w:rsidR="008E2774" w:rsidRPr="004B3F4F" w:rsidRDefault="008E2774" w:rsidP="006D64E1">
      <w:pPr>
        <w:pStyle w:val="ListParagraph"/>
      </w:pPr>
      <w:r w:rsidRPr="004B3F4F">
        <w:t>Transition goals</w:t>
      </w:r>
    </w:p>
    <w:p w14:paraId="3677289A" w14:textId="77777777" w:rsidR="008E2774" w:rsidRPr="004B3F4F" w:rsidRDefault="008E2774" w:rsidP="006D64E1">
      <w:pPr>
        <w:pStyle w:val="ListParagraph"/>
      </w:pPr>
      <w:r w:rsidRPr="004B3F4F">
        <w:t>Informed consent</w:t>
      </w:r>
    </w:p>
    <w:p w14:paraId="145D68E6" w14:textId="77777777" w:rsidR="008E2774" w:rsidRPr="004B3F4F" w:rsidRDefault="008E2774" w:rsidP="006D64E1">
      <w:pPr>
        <w:pStyle w:val="ListParagraph"/>
      </w:pPr>
      <w:r w:rsidRPr="004B3F4F">
        <w:t>General healthcare</w:t>
      </w:r>
    </w:p>
    <w:p w14:paraId="5E8E07EF" w14:textId="77777777" w:rsidR="008E2774" w:rsidRPr="004B3F4F" w:rsidRDefault="008E2774" w:rsidP="006D64E1">
      <w:pPr>
        <w:pStyle w:val="ListParagraph"/>
      </w:pPr>
      <w:r w:rsidRPr="004B3F4F">
        <w:t>Healthcare for young people (and practice points related to young people)</w:t>
      </w:r>
    </w:p>
    <w:p w14:paraId="09D34780" w14:textId="77777777" w:rsidR="008E2774" w:rsidRPr="004B3F4F" w:rsidRDefault="008E2774" w:rsidP="006D64E1">
      <w:pPr>
        <w:pStyle w:val="ListParagraph"/>
      </w:pPr>
      <w:r w:rsidRPr="004B3F4F">
        <w:t>Fertility preservation and contraception</w:t>
      </w:r>
    </w:p>
    <w:p w14:paraId="096AADA7" w14:textId="77777777" w:rsidR="008E2774" w:rsidRPr="004B3F4F" w:rsidRDefault="008E2774" w:rsidP="006D64E1">
      <w:pPr>
        <w:pStyle w:val="ListParagraph"/>
      </w:pPr>
      <w:r w:rsidRPr="004B3F4F">
        <w:t>Puberty suppression using GnRH agonists (with medicine and dose)</w:t>
      </w:r>
    </w:p>
    <w:p w14:paraId="5C94A354" w14:textId="77777777" w:rsidR="008E2774" w:rsidRPr="004B3F4F" w:rsidRDefault="008E2774" w:rsidP="006D64E1">
      <w:pPr>
        <w:pStyle w:val="ListParagraph"/>
      </w:pPr>
      <w:r w:rsidRPr="004B3F4F">
        <w:t>Gender affirming hormone treatment</w:t>
      </w:r>
    </w:p>
    <w:p w14:paraId="4D4AA82E" w14:textId="77777777" w:rsidR="008E2774" w:rsidRPr="004B3F4F" w:rsidRDefault="008E2774" w:rsidP="006D64E1">
      <w:pPr>
        <w:pStyle w:val="ListParagraph"/>
      </w:pPr>
      <w:r w:rsidRPr="004B3F4F">
        <w:t>Feminising hormonal therapy</w:t>
      </w:r>
    </w:p>
    <w:p w14:paraId="4422BE4F" w14:textId="77777777" w:rsidR="008E2774" w:rsidRPr="004B3F4F" w:rsidRDefault="008E2774" w:rsidP="006D64E1">
      <w:pPr>
        <w:pStyle w:val="ListParagraph"/>
      </w:pPr>
      <w:r w:rsidRPr="004B3F4F">
        <w:t>Masculinising hormonal therapy</w:t>
      </w:r>
    </w:p>
    <w:p w14:paraId="03EBAF20" w14:textId="77777777" w:rsidR="008E2774" w:rsidRPr="004B3F4F" w:rsidRDefault="008E2774" w:rsidP="006D64E1">
      <w:pPr>
        <w:pStyle w:val="ListParagraph"/>
      </w:pPr>
      <w:r w:rsidRPr="004B3F4F">
        <w:t>Gender affirming surgical treatment</w:t>
      </w:r>
    </w:p>
    <w:p w14:paraId="03AA0A9D" w14:textId="77777777" w:rsidR="008E2774" w:rsidRPr="004B3F4F" w:rsidRDefault="008E2774" w:rsidP="006D64E1">
      <w:pPr>
        <w:pStyle w:val="ListParagraph"/>
      </w:pPr>
      <w:r w:rsidRPr="004B3F4F">
        <w:t>Laser hair removal</w:t>
      </w:r>
    </w:p>
    <w:p w14:paraId="2D65CE0D" w14:textId="77777777" w:rsidR="008E2774" w:rsidRPr="004B3F4F" w:rsidRDefault="008E2774" w:rsidP="006D64E1">
      <w:pPr>
        <w:pStyle w:val="ListParagraph"/>
      </w:pPr>
      <w:r w:rsidRPr="004B3F4F">
        <w:t>Voice and communication training</w:t>
      </w:r>
    </w:p>
    <w:p w14:paraId="359E9839" w14:textId="77777777" w:rsidR="008E2774" w:rsidRPr="004B3F4F" w:rsidRDefault="008E2774" w:rsidP="006D64E1">
      <w:pPr>
        <w:pStyle w:val="ListParagraph"/>
      </w:pPr>
      <w:r w:rsidRPr="004B3F4F">
        <w:t>Recommendations for provision of gender affirming healthcare</w:t>
      </w:r>
    </w:p>
    <w:p w14:paraId="204291D5" w14:textId="77777777" w:rsidR="008E2774" w:rsidRPr="004B3F4F" w:rsidRDefault="008E2774" w:rsidP="00885484">
      <w:r w:rsidRPr="004B3F4F">
        <w:t xml:space="preserve">The other elements are: </w:t>
      </w:r>
    </w:p>
    <w:p w14:paraId="34E16B07" w14:textId="77777777" w:rsidR="008E2774" w:rsidRPr="004B3F4F" w:rsidRDefault="008E2774" w:rsidP="006D64E1">
      <w:pPr>
        <w:pStyle w:val="ListParagraph"/>
      </w:pPr>
      <w:r w:rsidRPr="004B3F4F">
        <w:t>Terminology used 2 pages</w:t>
      </w:r>
    </w:p>
    <w:p w14:paraId="46D3AC6E" w14:textId="77777777" w:rsidR="008E2774" w:rsidRPr="004B3F4F" w:rsidRDefault="008E2774" w:rsidP="006D64E1">
      <w:pPr>
        <w:pStyle w:val="ListParagraph"/>
      </w:pPr>
      <w:r w:rsidRPr="004B3F4F">
        <w:t>References 2 pages</w:t>
      </w:r>
    </w:p>
    <w:p w14:paraId="418ADD57" w14:textId="77777777" w:rsidR="008E2774" w:rsidRPr="004B3F4F" w:rsidRDefault="008E2774" w:rsidP="006D64E1">
      <w:pPr>
        <w:pStyle w:val="ListParagraph"/>
      </w:pPr>
      <w:r w:rsidRPr="004B3F4F">
        <w:t>Appendix A. Tanner stages 2 pages</w:t>
      </w:r>
    </w:p>
    <w:p w14:paraId="075A233B" w14:textId="77777777" w:rsidR="008E2774" w:rsidRPr="004B3F4F" w:rsidRDefault="008E2774" w:rsidP="006D64E1">
      <w:pPr>
        <w:pStyle w:val="ListParagraph"/>
      </w:pPr>
      <w:r w:rsidRPr="004B3F4F">
        <w:t>Appendix B. Fertility information 3 pages</w:t>
      </w:r>
    </w:p>
    <w:p w14:paraId="280652FF" w14:textId="77777777" w:rsidR="008E2774" w:rsidRPr="004B3F4F" w:rsidRDefault="008E2774" w:rsidP="006D64E1">
      <w:pPr>
        <w:pStyle w:val="ListParagraph"/>
      </w:pPr>
      <w:r w:rsidRPr="004B3F4F">
        <w:t xml:space="preserve">Consent forms for puberty blockers and feminising and masculinsing hormone therapy </w:t>
      </w:r>
    </w:p>
    <w:p w14:paraId="15AABBD5" w14:textId="14EC121A" w:rsidR="008E2774" w:rsidRDefault="008E2774" w:rsidP="00885484">
      <w:pPr>
        <w:pStyle w:val="Heading2"/>
        <w:rPr>
          <w:lang w:val="mi-NZ"/>
        </w:rPr>
      </w:pPr>
      <w:bookmarkStart w:id="61" w:name="_Toc145238130"/>
      <w:bookmarkStart w:id="62" w:name="_Toc143668015"/>
      <w:bookmarkStart w:id="63" w:name="_Toc156044310"/>
      <w:r>
        <w:rPr>
          <w:lang w:val="mi-NZ"/>
        </w:rPr>
        <w:lastRenderedPageBreak/>
        <w:t>Appendix II Criteria for assessing the PATHA Guideline</w:t>
      </w:r>
      <w:bookmarkEnd w:id="61"/>
      <w:bookmarkEnd w:id="63"/>
      <w:r>
        <w:rPr>
          <w:lang w:val="mi-NZ"/>
        </w:rPr>
        <w:t xml:space="preserve"> </w:t>
      </w:r>
      <w:bookmarkEnd w:id="62"/>
    </w:p>
    <w:tbl>
      <w:tblPr>
        <w:tblW w:w="921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
        <w:gridCol w:w="2405"/>
        <w:gridCol w:w="2835"/>
        <w:gridCol w:w="3690"/>
      </w:tblGrid>
      <w:tr w:rsidR="008E2774" w:rsidRPr="00D04267" w14:paraId="355759BC" w14:textId="77777777" w:rsidTr="007A353C">
        <w:trPr>
          <w:tblHeader/>
          <w:tblCellSpacing w:w="15" w:type="dxa"/>
        </w:trPr>
        <w:tc>
          <w:tcPr>
            <w:tcW w:w="239" w:type="dxa"/>
          </w:tcPr>
          <w:p w14:paraId="30CCFB62" w14:textId="77777777" w:rsidR="008E2774" w:rsidRPr="00482560" w:rsidRDefault="008E2774" w:rsidP="00885484"/>
        </w:tc>
        <w:tc>
          <w:tcPr>
            <w:tcW w:w="2375" w:type="dxa"/>
            <w:vAlign w:val="bottom"/>
            <w:hideMark/>
          </w:tcPr>
          <w:p w14:paraId="42D4AD0D" w14:textId="77777777" w:rsidR="008E2774" w:rsidRPr="00482560" w:rsidRDefault="008E2774" w:rsidP="00885484">
            <w:r w:rsidRPr="00482560">
              <w:t xml:space="preserve">AGREE </w:t>
            </w:r>
            <w:r w:rsidRPr="00D04267">
              <w:t>II</w:t>
            </w:r>
          </w:p>
        </w:tc>
        <w:tc>
          <w:tcPr>
            <w:tcW w:w="2805" w:type="dxa"/>
            <w:vAlign w:val="bottom"/>
            <w:hideMark/>
          </w:tcPr>
          <w:p w14:paraId="73FFAC61" w14:textId="77777777" w:rsidR="008E2774" w:rsidRPr="00D04267" w:rsidRDefault="008E2774" w:rsidP="00885484">
            <w:r w:rsidRPr="00D04267">
              <w:t>National Academies</w:t>
            </w:r>
          </w:p>
          <w:p w14:paraId="3284EB38" w14:textId="77777777" w:rsidR="008E2774" w:rsidRPr="00482560" w:rsidRDefault="008E2774" w:rsidP="00885484"/>
        </w:tc>
        <w:tc>
          <w:tcPr>
            <w:tcW w:w="3645" w:type="dxa"/>
          </w:tcPr>
          <w:p w14:paraId="30407F10" w14:textId="77777777" w:rsidR="008E2774" w:rsidRPr="00D04267" w:rsidRDefault="008E2774" w:rsidP="00885484">
            <w:r w:rsidRPr="00D04267">
              <w:t>WHO</w:t>
            </w:r>
          </w:p>
        </w:tc>
      </w:tr>
      <w:tr w:rsidR="008E2774" w:rsidRPr="00482560" w14:paraId="6A71FF93" w14:textId="77777777" w:rsidTr="007A353C">
        <w:trPr>
          <w:tblCellSpacing w:w="15" w:type="dxa"/>
        </w:trPr>
        <w:tc>
          <w:tcPr>
            <w:tcW w:w="239" w:type="dxa"/>
          </w:tcPr>
          <w:p w14:paraId="0639A895" w14:textId="77777777" w:rsidR="008E2774" w:rsidRPr="00241BE5" w:rsidRDefault="008E2774" w:rsidP="00885484">
            <w:r w:rsidRPr="00241BE5">
              <w:t>1</w:t>
            </w:r>
          </w:p>
        </w:tc>
        <w:tc>
          <w:tcPr>
            <w:tcW w:w="2375" w:type="dxa"/>
            <w:hideMark/>
          </w:tcPr>
          <w:p w14:paraId="6D051AFE" w14:textId="77777777" w:rsidR="008E2774" w:rsidRPr="00241BE5" w:rsidRDefault="008E2774" w:rsidP="00885484">
            <w:r w:rsidRPr="00241BE5">
              <w:t>The overall objective(s) of the guideline is (are) specifically described.</w:t>
            </w:r>
          </w:p>
        </w:tc>
        <w:tc>
          <w:tcPr>
            <w:tcW w:w="2805" w:type="dxa"/>
          </w:tcPr>
          <w:p w14:paraId="77E96B52" w14:textId="77777777" w:rsidR="008E2774" w:rsidRPr="00241BE5" w:rsidRDefault="008E2774" w:rsidP="00885484">
            <w:r w:rsidRPr="00241BE5">
              <w:t>Establish Evidence foundations</w:t>
            </w:r>
          </w:p>
        </w:tc>
        <w:tc>
          <w:tcPr>
            <w:tcW w:w="3645" w:type="dxa"/>
          </w:tcPr>
          <w:p w14:paraId="50C71C1A" w14:textId="77777777" w:rsidR="008E2774" w:rsidRPr="00241BE5" w:rsidRDefault="008E2774" w:rsidP="00885484">
            <w:r w:rsidRPr="00241BE5">
              <w:t xml:space="preserve">Disease burden and distribution across subgroups </w:t>
            </w:r>
          </w:p>
          <w:p w14:paraId="018E0045" w14:textId="77777777" w:rsidR="008E2774" w:rsidRPr="00241BE5" w:rsidRDefault="008E2774" w:rsidP="00885484">
            <w:r w:rsidRPr="00241BE5">
              <w:t xml:space="preserve">Background on the intervention or topic </w:t>
            </w:r>
          </w:p>
          <w:p w14:paraId="3FACFCFB" w14:textId="77777777" w:rsidR="008E2774" w:rsidRPr="00241BE5" w:rsidRDefault="008E2774" w:rsidP="00885484">
            <w:r w:rsidRPr="00241BE5">
              <w:t xml:space="preserve">History of this guideline </w:t>
            </w:r>
          </w:p>
        </w:tc>
      </w:tr>
      <w:tr w:rsidR="008E2774" w:rsidRPr="00482560" w14:paraId="63536A23" w14:textId="77777777" w:rsidTr="007A353C">
        <w:trPr>
          <w:trHeight w:val="1287"/>
          <w:tblCellSpacing w:w="15" w:type="dxa"/>
        </w:trPr>
        <w:tc>
          <w:tcPr>
            <w:tcW w:w="239" w:type="dxa"/>
          </w:tcPr>
          <w:p w14:paraId="2368FE57" w14:textId="77777777" w:rsidR="008E2774" w:rsidRPr="00241BE5" w:rsidRDefault="008E2774" w:rsidP="00885484">
            <w:r w:rsidRPr="00241BE5">
              <w:t>2</w:t>
            </w:r>
          </w:p>
        </w:tc>
        <w:tc>
          <w:tcPr>
            <w:tcW w:w="2375" w:type="dxa"/>
            <w:hideMark/>
          </w:tcPr>
          <w:p w14:paraId="0DF217FD" w14:textId="77777777" w:rsidR="008E2774" w:rsidRPr="00241BE5" w:rsidRDefault="008E2774" w:rsidP="00885484">
            <w:r w:rsidRPr="00241BE5">
              <w:t>The guideline development group includes individuals from all the relevant professional groups.</w:t>
            </w:r>
          </w:p>
        </w:tc>
        <w:tc>
          <w:tcPr>
            <w:tcW w:w="2805" w:type="dxa"/>
            <w:hideMark/>
          </w:tcPr>
          <w:p w14:paraId="1B8F0A39" w14:textId="77777777" w:rsidR="008E2774" w:rsidRPr="00241BE5" w:rsidRDefault="008E2774" w:rsidP="00885484">
            <w:r w:rsidRPr="00241BE5">
              <w:t>Developed by a knowledgeable, multidisciplinary panel of experts and representatives from key affected groups.</w:t>
            </w:r>
          </w:p>
          <w:p w14:paraId="5987E0DB" w14:textId="77777777" w:rsidR="008E2774" w:rsidRPr="00241BE5" w:rsidRDefault="008E2774" w:rsidP="00885484"/>
        </w:tc>
        <w:tc>
          <w:tcPr>
            <w:tcW w:w="3645" w:type="dxa"/>
          </w:tcPr>
          <w:p w14:paraId="4CCA1B95" w14:textId="77777777" w:rsidR="008E2774" w:rsidRPr="00241BE5" w:rsidRDefault="008E2774" w:rsidP="00885484">
            <w:r w:rsidRPr="00241BE5">
              <w:t xml:space="preserve">Steering group </w:t>
            </w:r>
          </w:p>
          <w:p w14:paraId="0090FDCC" w14:textId="77777777" w:rsidR="008E2774" w:rsidRPr="00241BE5" w:rsidRDefault="008E2774" w:rsidP="00885484">
            <w:r w:rsidRPr="00241BE5">
              <w:t xml:space="preserve">Guideline development group </w:t>
            </w:r>
          </w:p>
          <w:p w14:paraId="247CD065" w14:textId="2949069D" w:rsidR="008E2774" w:rsidRPr="00241BE5" w:rsidRDefault="008E2774" w:rsidP="00885484">
            <w:r w:rsidRPr="00241BE5">
              <w:t xml:space="preserve">Guideline methodologist(s) </w:t>
            </w:r>
          </w:p>
        </w:tc>
      </w:tr>
      <w:tr w:rsidR="008E2774" w:rsidRPr="00482560" w14:paraId="3F0DA0DC" w14:textId="77777777" w:rsidTr="007A353C">
        <w:trPr>
          <w:tblCellSpacing w:w="15" w:type="dxa"/>
        </w:trPr>
        <w:tc>
          <w:tcPr>
            <w:tcW w:w="239" w:type="dxa"/>
          </w:tcPr>
          <w:p w14:paraId="121BAA71" w14:textId="77777777" w:rsidR="008E2774" w:rsidRPr="00241BE5" w:rsidRDefault="008E2774" w:rsidP="00885484">
            <w:r w:rsidRPr="00241BE5">
              <w:t>3</w:t>
            </w:r>
          </w:p>
        </w:tc>
        <w:tc>
          <w:tcPr>
            <w:tcW w:w="2375" w:type="dxa"/>
            <w:hideMark/>
          </w:tcPr>
          <w:p w14:paraId="4A666FD7" w14:textId="77777777" w:rsidR="008E2774" w:rsidRPr="00241BE5" w:rsidRDefault="008E2774" w:rsidP="00885484">
            <w:r w:rsidRPr="00241BE5">
              <w:t>The views and preferences of the target population (patients, public, etc.) have been sought.</w:t>
            </w:r>
          </w:p>
        </w:tc>
        <w:tc>
          <w:tcPr>
            <w:tcW w:w="2805" w:type="dxa"/>
            <w:hideMark/>
          </w:tcPr>
          <w:p w14:paraId="56DD6D2F" w14:textId="77777777" w:rsidR="008E2774" w:rsidRPr="00241BE5" w:rsidRDefault="008E2774" w:rsidP="00885484">
            <w:r w:rsidRPr="00241BE5">
              <w:t>Consider important patient subgroups and patient preferences, as appropriate.</w:t>
            </w:r>
          </w:p>
          <w:p w14:paraId="07B29B5D" w14:textId="77777777" w:rsidR="008E2774" w:rsidRPr="00241BE5" w:rsidRDefault="008E2774" w:rsidP="00885484"/>
        </w:tc>
        <w:tc>
          <w:tcPr>
            <w:tcW w:w="3645" w:type="dxa"/>
          </w:tcPr>
          <w:p w14:paraId="69FEF8DA" w14:textId="77777777" w:rsidR="008E2774" w:rsidRPr="00241BE5" w:rsidRDefault="008E2774" w:rsidP="00885484">
            <w:r w:rsidRPr="00241BE5">
              <w:t xml:space="preserve">Stakeholders, including service users. </w:t>
            </w:r>
          </w:p>
          <w:p w14:paraId="759DBAA1" w14:textId="77777777" w:rsidR="008E2774" w:rsidRPr="00241BE5" w:rsidRDefault="008E2774" w:rsidP="00885484">
            <w:r w:rsidRPr="00241BE5">
              <w:t xml:space="preserve">External partners </w:t>
            </w:r>
          </w:p>
        </w:tc>
      </w:tr>
      <w:tr w:rsidR="008E2774" w:rsidRPr="00482560" w14:paraId="1920D64A" w14:textId="77777777" w:rsidTr="007A353C">
        <w:trPr>
          <w:trHeight w:val="1141"/>
          <w:tblCellSpacing w:w="15" w:type="dxa"/>
        </w:trPr>
        <w:tc>
          <w:tcPr>
            <w:tcW w:w="239" w:type="dxa"/>
          </w:tcPr>
          <w:p w14:paraId="1AE536C0" w14:textId="77777777" w:rsidR="008E2774" w:rsidRPr="00241BE5" w:rsidRDefault="008E2774" w:rsidP="00885484">
            <w:r w:rsidRPr="00241BE5">
              <w:t>4</w:t>
            </w:r>
          </w:p>
        </w:tc>
        <w:tc>
          <w:tcPr>
            <w:tcW w:w="2375" w:type="dxa"/>
            <w:hideMark/>
          </w:tcPr>
          <w:p w14:paraId="66721DD1" w14:textId="77777777" w:rsidR="008E2774" w:rsidRPr="00241BE5" w:rsidRDefault="008E2774" w:rsidP="00885484">
            <w:r w:rsidRPr="00241BE5">
              <w:t>Systematic methods were used to search for evidence.</w:t>
            </w:r>
          </w:p>
        </w:tc>
        <w:tc>
          <w:tcPr>
            <w:tcW w:w="2805" w:type="dxa"/>
          </w:tcPr>
          <w:p w14:paraId="42EED25D" w14:textId="77777777" w:rsidR="008E2774" w:rsidRPr="00241BE5" w:rsidRDefault="008E2774" w:rsidP="00885484">
            <w:r w:rsidRPr="00241BE5">
              <w:t>Based on a systematic review of the existing evidence.</w:t>
            </w:r>
          </w:p>
          <w:p w14:paraId="5F0901CA" w14:textId="77777777" w:rsidR="008E2774" w:rsidRPr="00241BE5" w:rsidRDefault="008E2774" w:rsidP="00885484"/>
        </w:tc>
        <w:tc>
          <w:tcPr>
            <w:tcW w:w="3645" w:type="dxa"/>
          </w:tcPr>
          <w:p w14:paraId="77969193" w14:textId="77777777" w:rsidR="008E2774" w:rsidRPr="002A3249" w:rsidRDefault="008E2774" w:rsidP="00885484">
            <w:r w:rsidRPr="002A3249">
              <w:t xml:space="preserve">Need for new systematic review. </w:t>
            </w:r>
          </w:p>
          <w:p w14:paraId="665BA385" w14:textId="77777777" w:rsidR="008E2774" w:rsidRPr="002A3249" w:rsidRDefault="008E2774" w:rsidP="00885484">
            <w:r w:rsidRPr="002A3249">
              <w:t xml:space="preserve">Study inclusion and exclusion criteria </w:t>
            </w:r>
          </w:p>
          <w:p w14:paraId="649D0D8A" w14:textId="77777777" w:rsidR="008E2774" w:rsidRPr="002A3249" w:rsidRDefault="008E2774" w:rsidP="00885484">
            <w:r w:rsidRPr="002A3249">
              <w:t xml:space="preserve">Evidence identification and retrieval </w:t>
            </w:r>
          </w:p>
          <w:p w14:paraId="781D5A5F" w14:textId="77777777" w:rsidR="008E2774" w:rsidRPr="00241BE5" w:rsidRDefault="008E2774" w:rsidP="00885484">
            <w:r w:rsidRPr="002A3249">
              <w:t xml:space="preserve">Systematic review methods </w:t>
            </w:r>
          </w:p>
        </w:tc>
      </w:tr>
      <w:tr w:rsidR="008E2774" w:rsidRPr="00482560" w14:paraId="4383FA10" w14:textId="77777777" w:rsidTr="007A353C">
        <w:trPr>
          <w:tblCellSpacing w:w="15" w:type="dxa"/>
        </w:trPr>
        <w:tc>
          <w:tcPr>
            <w:tcW w:w="239" w:type="dxa"/>
          </w:tcPr>
          <w:p w14:paraId="06482DFF" w14:textId="77777777" w:rsidR="008E2774" w:rsidRPr="00241BE5" w:rsidRDefault="008E2774" w:rsidP="00885484">
            <w:r w:rsidRPr="00241BE5">
              <w:t>5</w:t>
            </w:r>
          </w:p>
        </w:tc>
        <w:tc>
          <w:tcPr>
            <w:tcW w:w="2375" w:type="dxa"/>
            <w:hideMark/>
          </w:tcPr>
          <w:p w14:paraId="1A194703" w14:textId="77777777" w:rsidR="008E2774" w:rsidRPr="00241BE5" w:rsidRDefault="008E2774" w:rsidP="00885484">
            <w:r w:rsidRPr="00241BE5">
              <w:t>The methods for formulating the recommendations are clearly described.</w:t>
            </w:r>
          </w:p>
        </w:tc>
        <w:tc>
          <w:tcPr>
            <w:tcW w:w="2805" w:type="dxa"/>
          </w:tcPr>
          <w:p w14:paraId="56C5FA7B" w14:textId="77777777" w:rsidR="008E2774" w:rsidRPr="00241BE5" w:rsidRDefault="008E2774" w:rsidP="00885484">
            <w:r w:rsidRPr="00241BE5">
              <w:t>Provide a clear explanation of the logical relationships between alternative care options and health outcomes, and provide ratings of both the quality of evidence and the strength of the recommendations.</w:t>
            </w:r>
          </w:p>
        </w:tc>
        <w:tc>
          <w:tcPr>
            <w:tcW w:w="3645" w:type="dxa"/>
          </w:tcPr>
          <w:p w14:paraId="042729F6" w14:textId="77777777" w:rsidR="008E2774" w:rsidRPr="00241BE5" w:rsidRDefault="008E2774" w:rsidP="00885484">
            <w:r w:rsidRPr="00241BE5">
              <w:t xml:space="preserve">Use of the GRADE framework </w:t>
            </w:r>
          </w:p>
          <w:p w14:paraId="6D817DB5" w14:textId="77777777" w:rsidR="008E2774" w:rsidRPr="00241BE5" w:rsidRDefault="008E2774" w:rsidP="00885484">
            <w:r w:rsidRPr="00241BE5">
              <w:t>Factors to consider, e.g. values and preferences; resource use; equity, human rights, and gender.</w:t>
            </w:r>
          </w:p>
          <w:p w14:paraId="1BC08390" w14:textId="77777777" w:rsidR="008E2774" w:rsidRPr="00241BE5" w:rsidRDefault="008E2774" w:rsidP="00885484">
            <w:r w:rsidRPr="00241BE5">
              <w:t>Tools for formulating recommendations</w:t>
            </w:r>
          </w:p>
        </w:tc>
      </w:tr>
      <w:tr w:rsidR="008E2774" w:rsidRPr="00482560" w14:paraId="00DE0AEC" w14:textId="77777777" w:rsidTr="007A353C">
        <w:trPr>
          <w:tblCellSpacing w:w="15" w:type="dxa"/>
        </w:trPr>
        <w:tc>
          <w:tcPr>
            <w:tcW w:w="239" w:type="dxa"/>
          </w:tcPr>
          <w:p w14:paraId="48A90615" w14:textId="77777777" w:rsidR="008E2774" w:rsidRPr="00241BE5" w:rsidRDefault="008E2774" w:rsidP="00885484">
            <w:r w:rsidRPr="00241BE5">
              <w:t>6</w:t>
            </w:r>
          </w:p>
        </w:tc>
        <w:tc>
          <w:tcPr>
            <w:tcW w:w="2375" w:type="dxa"/>
            <w:hideMark/>
          </w:tcPr>
          <w:p w14:paraId="175B2BE6" w14:textId="77777777" w:rsidR="008E2774" w:rsidRPr="00241BE5" w:rsidRDefault="008E2774" w:rsidP="00885484">
            <w:r w:rsidRPr="00241BE5">
              <w:t>The guideline has been externally reviewed by experts prior to its publication.</w:t>
            </w:r>
          </w:p>
        </w:tc>
        <w:tc>
          <w:tcPr>
            <w:tcW w:w="2805" w:type="dxa"/>
          </w:tcPr>
          <w:p w14:paraId="1FAFC8FC" w14:textId="77777777" w:rsidR="008E2774" w:rsidRPr="00241BE5" w:rsidRDefault="008E2774" w:rsidP="00885484">
            <w:r w:rsidRPr="00241BE5">
              <w:t>External review of the CPG, including specified mechanisms for ensuring public stakeholder comment</w:t>
            </w:r>
          </w:p>
        </w:tc>
        <w:tc>
          <w:tcPr>
            <w:tcW w:w="3645" w:type="dxa"/>
          </w:tcPr>
          <w:p w14:paraId="35BE2864" w14:textId="77777777" w:rsidR="008E2774" w:rsidRPr="00241BE5" w:rsidRDefault="008E2774" w:rsidP="00885484">
            <w:r w:rsidRPr="00241BE5">
              <w:t xml:space="preserve">Systematic review team </w:t>
            </w:r>
          </w:p>
          <w:p w14:paraId="5B204AAF" w14:textId="77777777" w:rsidR="008E2774" w:rsidRPr="00241BE5" w:rsidRDefault="008E2774" w:rsidP="00885484">
            <w:r w:rsidRPr="00241BE5">
              <w:t xml:space="preserve">External review group </w:t>
            </w:r>
          </w:p>
        </w:tc>
      </w:tr>
      <w:tr w:rsidR="008E2774" w:rsidRPr="00482560" w14:paraId="05D77AF4" w14:textId="77777777" w:rsidTr="007A353C">
        <w:trPr>
          <w:tblCellSpacing w:w="15" w:type="dxa"/>
        </w:trPr>
        <w:tc>
          <w:tcPr>
            <w:tcW w:w="239" w:type="dxa"/>
          </w:tcPr>
          <w:p w14:paraId="6155B010" w14:textId="77777777" w:rsidR="008E2774" w:rsidRPr="00241BE5" w:rsidRDefault="008E2774" w:rsidP="00885484">
            <w:r w:rsidRPr="00241BE5">
              <w:t>7</w:t>
            </w:r>
          </w:p>
        </w:tc>
        <w:tc>
          <w:tcPr>
            <w:tcW w:w="2375" w:type="dxa"/>
            <w:hideMark/>
          </w:tcPr>
          <w:p w14:paraId="2F5035B9" w14:textId="77777777" w:rsidR="008E2774" w:rsidRPr="00241BE5" w:rsidRDefault="008E2774" w:rsidP="00885484">
            <w:r w:rsidRPr="00241BE5">
              <w:t>A procedure for updating the guideline is provided.</w:t>
            </w:r>
          </w:p>
        </w:tc>
        <w:tc>
          <w:tcPr>
            <w:tcW w:w="2805" w:type="dxa"/>
          </w:tcPr>
          <w:p w14:paraId="3329CC54" w14:textId="77777777" w:rsidR="008E2774" w:rsidRPr="00241BE5" w:rsidRDefault="008E2774" w:rsidP="00885484">
            <w:r w:rsidRPr="00241BE5">
              <w:t>Reconsidered and revised as appropriate when important new evidence warrants modifications of recommendations.</w:t>
            </w:r>
          </w:p>
        </w:tc>
        <w:tc>
          <w:tcPr>
            <w:tcW w:w="3645" w:type="dxa"/>
          </w:tcPr>
          <w:p w14:paraId="65908F5A" w14:textId="77777777" w:rsidR="008E2774" w:rsidRPr="00241BE5" w:rsidRDefault="008E2774" w:rsidP="00885484">
            <w:r w:rsidRPr="00241BE5">
              <w:t xml:space="preserve">Plans for when and how to update. </w:t>
            </w:r>
          </w:p>
          <w:p w14:paraId="75D84B8E" w14:textId="77777777" w:rsidR="008E2774" w:rsidRPr="00241BE5" w:rsidRDefault="008E2774" w:rsidP="00885484">
            <w:r w:rsidRPr="00241BE5">
              <w:t xml:space="preserve">Strategies for identifying new information </w:t>
            </w:r>
          </w:p>
        </w:tc>
      </w:tr>
      <w:tr w:rsidR="008E2774" w:rsidRPr="00482560" w14:paraId="7F2DF540" w14:textId="77777777" w:rsidTr="007A353C">
        <w:trPr>
          <w:tblCellSpacing w:w="15" w:type="dxa"/>
        </w:trPr>
        <w:tc>
          <w:tcPr>
            <w:tcW w:w="239" w:type="dxa"/>
          </w:tcPr>
          <w:p w14:paraId="752A3D19" w14:textId="77777777" w:rsidR="008E2774" w:rsidRPr="00241BE5" w:rsidRDefault="008E2774" w:rsidP="00885484">
            <w:r w:rsidRPr="00241BE5">
              <w:lastRenderedPageBreak/>
              <w:t>8</w:t>
            </w:r>
          </w:p>
        </w:tc>
        <w:tc>
          <w:tcPr>
            <w:tcW w:w="2375" w:type="dxa"/>
            <w:hideMark/>
          </w:tcPr>
          <w:p w14:paraId="7076EDE7" w14:textId="77777777" w:rsidR="008E2774" w:rsidRPr="00241BE5" w:rsidRDefault="008E2774" w:rsidP="00885484">
            <w:r w:rsidRPr="00241BE5">
              <w:t>Competing interests of members of the guideline development group have been recorded and addressed.</w:t>
            </w:r>
          </w:p>
        </w:tc>
        <w:tc>
          <w:tcPr>
            <w:tcW w:w="2805" w:type="dxa"/>
            <w:hideMark/>
          </w:tcPr>
          <w:p w14:paraId="1D91A0A5" w14:textId="77777777" w:rsidR="008E2774" w:rsidRPr="00241BE5" w:rsidRDefault="008E2774" w:rsidP="00885484">
            <w:r w:rsidRPr="00241BE5">
              <w:t>Based on an explicit and transparent process that minimizes conflicts of interest;</w:t>
            </w:r>
          </w:p>
        </w:tc>
        <w:tc>
          <w:tcPr>
            <w:tcW w:w="3645" w:type="dxa"/>
          </w:tcPr>
          <w:p w14:paraId="76CC98CE" w14:textId="77777777" w:rsidR="008E2774" w:rsidRPr="00241BE5" w:rsidRDefault="008E2774" w:rsidP="00885484">
            <w:r w:rsidRPr="00241BE5">
              <w:t xml:space="preserve">Collecting disclosures of interest </w:t>
            </w:r>
          </w:p>
          <w:p w14:paraId="220EFFE3" w14:textId="77777777" w:rsidR="008E2774" w:rsidRPr="00241BE5" w:rsidRDefault="008E2774" w:rsidP="00885484">
            <w:r w:rsidRPr="00241BE5">
              <w:t xml:space="preserve">Assessing disclosures of interest </w:t>
            </w:r>
          </w:p>
          <w:p w14:paraId="347B746B" w14:textId="77777777" w:rsidR="008E2774" w:rsidRPr="00241BE5" w:rsidRDefault="008E2774" w:rsidP="00885484">
            <w:r w:rsidRPr="00241BE5">
              <w:t>Managing conflicts of interest</w:t>
            </w:r>
          </w:p>
        </w:tc>
      </w:tr>
    </w:tbl>
    <w:p w14:paraId="212683ED" w14:textId="77777777" w:rsidR="008E2774" w:rsidRDefault="008E2774" w:rsidP="00885484"/>
    <w:p w14:paraId="3EAF6D6E" w14:textId="77777777" w:rsidR="007171BE" w:rsidRDefault="007171BE" w:rsidP="007171BE">
      <w:pPr>
        <w:pStyle w:val="Heading2"/>
      </w:pPr>
      <w:bookmarkStart w:id="64" w:name="_Toc145238127"/>
      <w:bookmarkStart w:id="65" w:name="_Toc156044307"/>
      <w:r>
        <w:t>Author details</w:t>
      </w:r>
      <w:bookmarkEnd w:id="64"/>
      <w:bookmarkEnd w:id="65"/>
    </w:p>
    <w:p w14:paraId="6B05ECD9" w14:textId="77777777" w:rsidR="007171BE" w:rsidRDefault="007171BE" w:rsidP="007171BE">
      <w:pPr>
        <w:pStyle w:val="Default"/>
        <w:rPr>
          <w:color w:val="auto"/>
          <w:sz w:val="22"/>
          <w:szCs w:val="22"/>
        </w:rPr>
      </w:pPr>
      <w:r>
        <w:rPr>
          <w:color w:val="auto"/>
          <w:sz w:val="22"/>
          <w:szCs w:val="22"/>
        </w:rPr>
        <w:t xml:space="preserve">Jan Rivers is a Wellington former public servant, who has worked in information management, libraries and research. She is the co-author of </w:t>
      </w:r>
      <w:hyperlink r:id="rId8" w:history="1">
        <w:r w:rsidRPr="00A718BB">
          <w:rPr>
            <w:rStyle w:val="Hyperlink"/>
            <w:sz w:val="22"/>
            <w:szCs w:val="22"/>
          </w:rPr>
          <w:t>Sex, Gender and Women’s Rights</w:t>
        </w:r>
      </w:hyperlink>
      <w:r>
        <w:rPr>
          <w:color w:val="auto"/>
          <w:sz w:val="22"/>
          <w:szCs w:val="22"/>
        </w:rPr>
        <w:t xml:space="preserve"> an examination of the policy capture by ideas from gender ideology in the New Zealand Public Sector.  She can be contacted at </w:t>
      </w:r>
      <w:hyperlink r:id="rId9" w:history="1">
        <w:r>
          <w:rPr>
            <w:rStyle w:val="Hyperlink"/>
            <w:sz w:val="22"/>
            <w:szCs w:val="22"/>
          </w:rPr>
          <w:t>jan@publicgood.org.nz</w:t>
        </w:r>
      </w:hyperlink>
      <w:r>
        <w:rPr>
          <w:color w:val="auto"/>
          <w:sz w:val="22"/>
          <w:szCs w:val="22"/>
        </w:rPr>
        <w:t>.</w:t>
      </w:r>
    </w:p>
    <w:p w14:paraId="1F2B9482" w14:textId="77777777" w:rsidR="007171BE" w:rsidRDefault="007171BE" w:rsidP="00885484"/>
    <w:sectPr w:rsidR="007171BE" w:rsidSect="00774F97">
      <w:footerReference w:type="default" r:id="rId1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9BF8" w14:textId="77777777" w:rsidR="00774F97" w:rsidRDefault="00774F97" w:rsidP="00885484">
      <w:r>
        <w:separator/>
      </w:r>
    </w:p>
  </w:endnote>
  <w:endnote w:type="continuationSeparator" w:id="0">
    <w:p w14:paraId="73360E1E" w14:textId="77777777" w:rsidR="00774F97" w:rsidRDefault="00774F97" w:rsidP="00885484">
      <w:r>
        <w:continuationSeparator/>
      </w:r>
    </w:p>
  </w:endnote>
  <w:endnote w:type="continuationNotice" w:id="1">
    <w:p w14:paraId="5899DD5D" w14:textId="77777777" w:rsidR="00774F97" w:rsidRDefault="00774F97" w:rsidP="00885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788384"/>
      <w:docPartObj>
        <w:docPartGallery w:val="Page Numbers (Bottom of Page)"/>
        <w:docPartUnique/>
      </w:docPartObj>
    </w:sdtPr>
    <w:sdtContent>
      <w:p w14:paraId="2F2D283F" w14:textId="358E48EB" w:rsidR="00B04F18" w:rsidRDefault="003D5468" w:rsidP="00885484">
        <w:pPr>
          <w:pStyle w:val="Foote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r w:rsidR="00B04F18">
          <w:rPr>
            <w:color w:val="7F7F7F" w:themeColor="background1" w:themeShade="7F"/>
            <w:spacing w:val="60"/>
          </w:rPr>
          <w:tab/>
        </w:r>
        <w:r w:rsidR="00B04F18">
          <w:rPr>
            <w:color w:val="7F7F7F" w:themeColor="background1" w:themeShade="7F"/>
            <w:spacing w:val="60"/>
          </w:rPr>
          <w:tab/>
        </w:r>
      </w:p>
      <w:p w14:paraId="4F0BA067" w14:textId="308CDCA5" w:rsidR="00501001" w:rsidRDefault="00B04F18" w:rsidP="00501001">
        <w:pPr>
          <w:pStyle w:val="Footer"/>
        </w:pPr>
        <w:r>
          <w:t xml:space="preserve">Assessment of the PATHA Guideline  </w:t>
        </w:r>
        <w:r w:rsidR="00B94F42">
          <w:t>by Jan Rivers</w:t>
        </w:r>
        <w:r w:rsidR="00501001">
          <w:t xml:space="preserve">  </w:t>
        </w:r>
        <w:r w:rsidR="00501001">
          <w:tab/>
        </w:r>
        <w:r w:rsidR="00501001">
          <w:tab/>
        </w:r>
        <w:r w:rsidR="000D314E">
          <w:t>January 13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849F" w14:textId="77777777" w:rsidR="00774F97" w:rsidRDefault="00774F97" w:rsidP="00885484">
      <w:r>
        <w:separator/>
      </w:r>
    </w:p>
  </w:footnote>
  <w:footnote w:type="continuationSeparator" w:id="0">
    <w:p w14:paraId="1D392128" w14:textId="77777777" w:rsidR="00774F97" w:rsidRDefault="00774F97" w:rsidP="00885484">
      <w:r>
        <w:continuationSeparator/>
      </w:r>
    </w:p>
  </w:footnote>
  <w:footnote w:type="continuationNotice" w:id="1">
    <w:p w14:paraId="786FAF62" w14:textId="77777777" w:rsidR="00774F97" w:rsidRDefault="00774F97" w:rsidP="00885484"/>
  </w:footnote>
  <w:footnote w:id="2">
    <w:p w14:paraId="3CFC708E" w14:textId="10DB3569" w:rsidR="0095531C" w:rsidRDefault="0095531C" w:rsidP="00885484">
      <w:r w:rsidRPr="00523034">
        <w:rPr>
          <w:rStyle w:val="FootnoteReference"/>
        </w:rPr>
        <w:footnoteRef/>
      </w:r>
      <w:r>
        <w:t xml:space="preserve"> MVPFAFF is an acronym </w:t>
      </w:r>
      <w:r w:rsidR="00E13C72">
        <w:t>that represents</w:t>
      </w:r>
      <w:r>
        <w:t xml:space="preserve"> gender diverse Pasifika people.</w:t>
      </w:r>
    </w:p>
    <w:p w14:paraId="69D51039" w14:textId="3B76D313" w:rsidR="0095531C" w:rsidRPr="0095531C" w:rsidRDefault="0095531C" w:rsidP="00885484">
      <w:pPr>
        <w:pStyle w:val="FootnoteText"/>
        <w:rPr>
          <w:lang w:val="mi-NZ"/>
        </w:rPr>
      </w:pPr>
    </w:p>
  </w:footnote>
  <w:footnote w:id="3">
    <w:p w14:paraId="5F58C14C" w14:textId="378EBAB4" w:rsidR="00170645" w:rsidRDefault="00170645" w:rsidP="00170645">
      <w:pPr>
        <w:pStyle w:val="Heading5"/>
      </w:pPr>
      <w:r w:rsidRPr="00523034">
        <w:rPr>
          <w:rStyle w:val="FootnoteReference"/>
        </w:rPr>
        <w:footnoteRef/>
      </w:r>
      <w:r>
        <w:t xml:space="preserve">  Mental Health</w:t>
      </w:r>
    </w:p>
    <w:p w14:paraId="6AFC7712" w14:textId="77777777" w:rsidR="00170645" w:rsidRDefault="00170645" w:rsidP="00170645">
      <w:r>
        <w:t>WPATH</w:t>
      </w:r>
    </w:p>
    <w:p w14:paraId="7270CE0B" w14:textId="77777777" w:rsidR="00170645" w:rsidRDefault="00170645" w:rsidP="00170645">
      <w:r>
        <w:t xml:space="preserve">To access gender affirming hormones and surgery SOC 7 says: </w:t>
      </w:r>
      <w:r>
        <w:rPr>
          <w:i/>
          <w:iCs/>
        </w:rPr>
        <w:t xml:space="preserve">If significant medical or mental concerns are present, they must be reasonably well-controlled. </w:t>
      </w:r>
      <w:r>
        <w:t>Untreated mental health conditions can complicate treatment.</w:t>
      </w:r>
    </w:p>
    <w:p w14:paraId="6C9D7A66" w14:textId="77777777" w:rsidR="00170645" w:rsidRDefault="00170645" w:rsidP="00170645">
      <w:r>
        <w:t>PATHA</w:t>
      </w:r>
    </w:p>
    <w:p w14:paraId="706D8560" w14:textId="77777777" w:rsidR="00170645" w:rsidRDefault="00170645" w:rsidP="00170645">
      <w:pPr>
        <w:rPr>
          <w:i/>
          <w:iCs/>
        </w:rPr>
      </w:pPr>
      <w:r>
        <w:rPr>
          <w:i/>
          <w:iCs/>
        </w:rPr>
        <w:t>Include mental health issues as part of a holistic psychosocial assessment, for example discussion of anxiety, depression, risk of self-harm, while being clear that having mental health issues is not a barrier to accessing gender affirming services.</w:t>
      </w:r>
    </w:p>
    <w:p w14:paraId="34A2AA7D" w14:textId="77777777" w:rsidR="00170645" w:rsidRDefault="00170645" w:rsidP="00170645">
      <w:pPr>
        <w:autoSpaceDE w:val="0"/>
        <w:autoSpaceDN w:val="0"/>
        <w:adjustRightInd w:val="0"/>
        <w:spacing w:after="0" w:line="240" w:lineRule="auto"/>
        <w:rPr>
          <w:lang w:val="mi-NZ"/>
        </w:rPr>
      </w:pPr>
      <w:r>
        <w:rPr>
          <w:rFonts w:cs="Calibri"/>
          <w:i/>
          <w:iCs/>
          <w:kern w:val="0"/>
          <w:sz w:val="24"/>
          <w:szCs w:val="24"/>
          <w:lang w:eastAsia="en-US"/>
        </w:rPr>
        <w:t>Although some neurodiverse people may have difficulty in articulating their gender identity, this should not create an unnecessary barrier to access any relevant gender affirming services. Some people may express their gender identity non-verbally</w:t>
      </w:r>
      <w:r>
        <w:rPr>
          <w:rFonts w:cs="Calibri"/>
          <w:kern w:val="0"/>
          <w:sz w:val="24"/>
          <w:szCs w:val="24"/>
          <w:lang w:eastAsia="en-US"/>
        </w:rPr>
        <w:t>.</w:t>
      </w:r>
    </w:p>
    <w:p w14:paraId="6EB96BF2" w14:textId="5F734591" w:rsidR="00170645" w:rsidRPr="00170645" w:rsidRDefault="00170645">
      <w:pPr>
        <w:pStyle w:val="FootnoteText"/>
        <w:rPr>
          <w:lang w:val="en-US"/>
        </w:rPr>
      </w:pPr>
    </w:p>
  </w:footnote>
  <w:footnote w:id="4">
    <w:p w14:paraId="0B639C18" w14:textId="77777777" w:rsidR="00170645" w:rsidRDefault="00170645" w:rsidP="00170645">
      <w:r w:rsidRPr="00523034">
        <w:rPr>
          <w:rStyle w:val="FootnoteReference"/>
        </w:rPr>
        <w:footnoteRef/>
      </w:r>
      <w:r>
        <w:t xml:space="preserve"> </w:t>
      </w:r>
      <w:r>
        <w:rPr>
          <w:rFonts w:asciiTheme="majorHAnsi" w:eastAsiaTheme="majorEastAsia" w:hAnsiTheme="majorHAnsi" w:cstheme="majorBidi"/>
          <w:i/>
          <w:iCs/>
          <w:color w:val="2F5496" w:themeColor="accent1" w:themeShade="BF"/>
        </w:rPr>
        <w:t>Cause of associated mental health conditions</w:t>
      </w:r>
      <w:r>
        <w:t xml:space="preserve"> </w:t>
      </w:r>
    </w:p>
    <w:p w14:paraId="07680D1A" w14:textId="77777777" w:rsidR="00170645" w:rsidRDefault="00170645" w:rsidP="00170645">
      <w:r>
        <w:t>WPATH</w:t>
      </w:r>
    </w:p>
    <w:p w14:paraId="3DCB63C1" w14:textId="77777777" w:rsidR="00170645" w:rsidRDefault="00170645" w:rsidP="00170645">
      <w:pPr>
        <w:spacing w:after="0"/>
        <w:rPr>
          <w:i/>
          <w:iCs/>
        </w:rPr>
      </w:pPr>
      <w:r>
        <w:rPr>
          <w:i/>
          <w:iCs/>
        </w:rPr>
        <w:t>Clients presenting with gender dysphoria may struggle with a range of mental health concerns</w:t>
      </w:r>
    </w:p>
    <w:p w14:paraId="3EBEBDA1" w14:textId="77777777" w:rsidR="00170645" w:rsidRDefault="00170645" w:rsidP="00170645">
      <w:pPr>
        <w:spacing w:after="0"/>
        <w:rPr>
          <w:i/>
          <w:iCs/>
        </w:rPr>
      </w:pPr>
      <w:r>
        <w:rPr>
          <w:i/>
          <w:iCs/>
        </w:rPr>
        <w:t xml:space="preserve">whether </w:t>
      </w:r>
      <w:r>
        <w:rPr>
          <w:b/>
          <w:bCs/>
          <w:i/>
          <w:iCs/>
        </w:rPr>
        <w:t>related or unrelated</w:t>
      </w:r>
      <w:r>
        <w:rPr>
          <w:i/>
          <w:iCs/>
        </w:rPr>
        <w:t xml:space="preserve"> to what is often a long history of gender dysphoria and/or chronic minority stress.</w:t>
      </w:r>
      <w:r>
        <w:t>(Emphasis added)</w:t>
      </w:r>
    </w:p>
    <w:p w14:paraId="367D8D26" w14:textId="77777777" w:rsidR="00170645" w:rsidRDefault="00170645" w:rsidP="00170645">
      <w:pPr>
        <w:spacing w:after="0"/>
        <w:rPr>
          <w:i/>
          <w:iCs/>
        </w:rPr>
      </w:pPr>
      <w:r>
        <w:rPr>
          <w:i/>
          <w:iCs/>
        </w:rPr>
        <w:t>Mental health professionals should screen for these and other mental health concerns and incorporate the identified concerns into the overall treatment plan. These concerns can be significant sources of distress and, if left untreated, can complicate the process of gender identity exploration and resolution of gender dysphoria.</w:t>
      </w:r>
    </w:p>
    <w:p w14:paraId="099CC579" w14:textId="77777777" w:rsidR="00170645" w:rsidRDefault="00170645" w:rsidP="00170645">
      <w:pPr>
        <w:spacing w:after="0"/>
        <w:rPr>
          <w:i/>
          <w:iCs/>
        </w:rPr>
      </w:pPr>
    </w:p>
    <w:p w14:paraId="5E505E30" w14:textId="77777777" w:rsidR="00170645" w:rsidRDefault="00170645" w:rsidP="00170645">
      <w:pPr>
        <w:spacing w:after="0"/>
      </w:pPr>
      <w:r>
        <w:rPr>
          <w:i/>
          <w:iCs/>
        </w:rPr>
        <w:t>PATHA</w:t>
      </w:r>
    </w:p>
    <w:p w14:paraId="4C3A5039" w14:textId="77777777" w:rsidR="00170645" w:rsidRDefault="00170645" w:rsidP="00170645">
      <w:pPr>
        <w:spacing w:after="0"/>
        <w:rPr>
          <w:i/>
          <w:iCs/>
        </w:rPr>
      </w:pPr>
      <w:r>
        <w:rPr>
          <w:i/>
          <w:iCs/>
        </w:rPr>
        <w:t xml:space="preserve">It is becoming increasingly accepted that it is the additive effects of minority stress that results in mental health difficulties. </w:t>
      </w:r>
    </w:p>
    <w:p w14:paraId="74246D0D" w14:textId="77777777" w:rsidR="00170645" w:rsidRDefault="00170645" w:rsidP="00170645">
      <w:pPr>
        <w:autoSpaceDE w:val="0"/>
        <w:autoSpaceDN w:val="0"/>
        <w:adjustRightInd w:val="0"/>
        <w:spacing w:after="0" w:line="240" w:lineRule="auto"/>
        <w:rPr>
          <w:i/>
          <w:iCs/>
        </w:rPr>
      </w:pPr>
      <w:r>
        <w:rPr>
          <w:rFonts w:cs="Calibri"/>
          <w:i/>
          <w:iCs/>
          <w:kern w:val="0"/>
          <w:lang w:eastAsia="en-US"/>
        </w:rPr>
        <w:t>The WPATH standards emphasise that the having medical or mental health concerns does not mean gender affirming care cannot be commenced, rather that these need to be responded to alongside gender affirming care.</w:t>
      </w:r>
    </w:p>
    <w:p w14:paraId="2486CF2D" w14:textId="34787D77" w:rsidR="00170645" w:rsidRPr="00170645" w:rsidRDefault="00170645">
      <w:pPr>
        <w:pStyle w:val="FootnoteText"/>
        <w:rPr>
          <w:lang w:val="en-US"/>
        </w:rPr>
      </w:pPr>
    </w:p>
  </w:footnote>
  <w:footnote w:id="5">
    <w:p w14:paraId="6EA42F9F" w14:textId="77777777" w:rsidR="00170645" w:rsidRDefault="00170645" w:rsidP="00170645">
      <w:pPr>
        <w:pStyle w:val="Heading4"/>
      </w:pPr>
      <w:r w:rsidRPr="00523034">
        <w:rPr>
          <w:rStyle w:val="FootnoteReference"/>
        </w:rPr>
        <w:footnoteRef/>
      </w:r>
      <w:r>
        <w:t xml:space="preserve"> Ethical issues about proceeding to treatment</w:t>
      </w:r>
    </w:p>
    <w:p w14:paraId="2BC3C878" w14:textId="77777777" w:rsidR="00170645" w:rsidRDefault="00170645" w:rsidP="00170645">
      <w:r>
        <w:t>WPATH</w:t>
      </w:r>
    </w:p>
    <w:p w14:paraId="10EE780B" w14:textId="77777777" w:rsidR="00170645" w:rsidRDefault="00170645" w:rsidP="00170645">
      <w:pPr>
        <w:rPr>
          <w:i/>
          <w:iCs/>
        </w:rPr>
      </w:pPr>
      <w:r>
        <w:rPr>
          <w:i/>
          <w:iCs/>
        </w:rPr>
        <w:t>Neither puberty suppression nor allowing puberty to occur is a neutral act.</w:t>
      </w:r>
    </w:p>
    <w:p w14:paraId="277FE64F" w14:textId="77777777" w:rsidR="00170645" w:rsidRDefault="00170645" w:rsidP="00170645">
      <w:r>
        <w:t>PATHA</w:t>
      </w:r>
    </w:p>
    <w:p w14:paraId="70B333E5" w14:textId="77777777" w:rsidR="00170645" w:rsidRDefault="00170645" w:rsidP="00170645">
      <w:pPr>
        <w:rPr>
          <w:i/>
          <w:iCs/>
        </w:rPr>
      </w:pPr>
      <w:r>
        <w:rPr>
          <w:i/>
          <w:iCs/>
        </w:rPr>
        <w:t>Withholding gender affirming treatment is not considered a neutral option, as this may cause or exacerbate any gender dysphoria or mental health problems.</w:t>
      </w:r>
    </w:p>
    <w:p w14:paraId="25DAD82C" w14:textId="77777777" w:rsidR="00170645" w:rsidRDefault="00170645" w:rsidP="00170645">
      <w:pPr>
        <w:rPr>
          <w:lang w:val="mi-NZ"/>
        </w:rPr>
      </w:pPr>
      <w:r>
        <w:rPr>
          <w:i/>
          <w:iCs/>
        </w:rPr>
        <w:t>Acknowledge that withholding gender affirming healthcare is not considered a neutral option.</w:t>
      </w:r>
    </w:p>
    <w:p w14:paraId="3DCAE2E2" w14:textId="57A3CCC0" w:rsidR="00170645" w:rsidRPr="00170645" w:rsidRDefault="00170645">
      <w:pPr>
        <w:pStyle w:val="FootnoteText"/>
        <w:rPr>
          <w:lang w:val="en-US"/>
        </w:rPr>
      </w:pPr>
    </w:p>
  </w:footnote>
  <w:footnote w:id="6">
    <w:p w14:paraId="22753CDE" w14:textId="77777777" w:rsidR="00170645" w:rsidRDefault="00170645" w:rsidP="00170645">
      <w:pPr>
        <w:rPr>
          <w:rFonts w:asciiTheme="majorHAnsi" w:eastAsiaTheme="majorEastAsia" w:hAnsiTheme="majorHAnsi" w:cstheme="majorBidi"/>
          <w:i/>
          <w:iCs/>
          <w:color w:val="2F5496" w:themeColor="accent1" w:themeShade="BF"/>
        </w:rPr>
      </w:pPr>
      <w:r w:rsidRPr="00523034">
        <w:rPr>
          <w:rStyle w:val="FootnoteReference"/>
        </w:rPr>
        <w:footnoteRef/>
      </w:r>
      <w:r>
        <w:t xml:space="preserve"> </w:t>
      </w:r>
      <w:r>
        <w:rPr>
          <w:rFonts w:asciiTheme="majorHAnsi" w:eastAsiaTheme="majorEastAsia" w:hAnsiTheme="majorHAnsi" w:cstheme="majorBidi"/>
          <w:i/>
          <w:iCs/>
          <w:color w:val="2F5496" w:themeColor="accent1" w:themeShade="BF"/>
        </w:rPr>
        <w:t>Desistance because dysphoria resolves</w:t>
      </w:r>
    </w:p>
    <w:p w14:paraId="06ACD669" w14:textId="77777777" w:rsidR="00170645" w:rsidRDefault="00170645" w:rsidP="00170645">
      <w:r>
        <w:t>WPATH SOC 7</w:t>
      </w:r>
    </w:p>
    <w:p w14:paraId="2FAA31BE" w14:textId="77777777" w:rsidR="00170645" w:rsidRDefault="00170645" w:rsidP="00170645">
      <w:pPr>
        <w:rPr>
          <w:i/>
          <w:iCs/>
        </w:rPr>
      </w:pPr>
      <w:r>
        <w:rPr>
          <w:b/>
          <w:bCs/>
          <w:i/>
          <w:iCs/>
        </w:rPr>
        <w:t>In most children</w:t>
      </w:r>
      <w:r>
        <w:rPr>
          <w:i/>
          <w:iCs/>
        </w:rPr>
        <w:t xml:space="preserve">, gender dysphoria will disappear before or early in puberty. </w:t>
      </w:r>
      <w:r>
        <w:t>(Emphasis added)</w:t>
      </w:r>
    </w:p>
    <w:p w14:paraId="2F431752" w14:textId="77777777" w:rsidR="00170645" w:rsidRDefault="00170645" w:rsidP="00170645">
      <w:pPr>
        <w:rPr>
          <w:rFonts w:cs="Calibri"/>
          <w:i/>
          <w:iCs/>
        </w:rPr>
      </w:pPr>
      <w:r>
        <w:rPr>
          <w:i/>
          <w:iCs/>
        </w:rPr>
        <w:t xml:space="preserve">An important difference between gender dysphoric children and adolescents is in the proportion for </w:t>
      </w:r>
      <w:r>
        <w:rPr>
          <w:i/>
          <w:iCs/>
        </w:rPr>
        <w:br/>
        <w:t xml:space="preserve">whom dysphoria persists into adulthood. Gender dysphoria during childhood does not inevitably </w:t>
      </w:r>
      <w:r>
        <w:rPr>
          <w:i/>
          <w:iCs/>
        </w:rPr>
        <w:br/>
        <w:t xml:space="preserve">continue into adulthood. Rather, in follow-up studies of prepubertal children (mainly boys) who </w:t>
      </w:r>
      <w:r>
        <w:rPr>
          <w:i/>
          <w:iCs/>
        </w:rPr>
        <w:br/>
        <w:t xml:space="preserve">were referred to clinics for assessment of gender dysphoria, the dysphoria persisted into adulthood </w:t>
      </w:r>
      <w:r>
        <w:rPr>
          <w:i/>
          <w:iCs/>
        </w:rPr>
        <w:br/>
        <w:t>for only 6-23% of children. Boys in these studies were more likely to identify as gay in adulthood than as transgender  Newer studies, also including girls, showed a 12-27% persistence rate of gender dysphoria into adulthood.</w:t>
      </w:r>
    </w:p>
    <w:p w14:paraId="3BE281B3" w14:textId="77777777" w:rsidR="00170645" w:rsidRDefault="00170645" w:rsidP="00170645">
      <w:r>
        <w:t>PATHA</w:t>
      </w:r>
    </w:p>
    <w:p w14:paraId="7B9692DB" w14:textId="77777777" w:rsidR="00170645" w:rsidRDefault="00170645" w:rsidP="00170645">
      <w:pPr>
        <w:rPr>
          <w:lang w:val="mi-NZ"/>
        </w:rPr>
      </w:pPr>
      <w:r>
        <w:rPr>
          <w:color w:val="000000"/>
        </w:rPr>
        <w:t xml:space="preserve">[At adolescence] </w:t>
      </w:r>
      <w:r>
        <w:rPr>
          <w:b/>
          <w:bCs/>
          <w:i/>
          <w:iCs/>
          <w:color w:val="000000"/>
        </w:rPr>
        <w:t>some previously gender-expansive children</w:t>
      </w:r>
      <w:r>
        <w:rPr>
          <w:i/>
          <w:iCs/>
          <w:color w:val="000000"/>
        </w:rPr>
        <w:t xml:space="preserve"> </w:t>
      </w:r>
      <w:r>
        <w:rPr>
          <w:b/>
          <w:bCs/>
          <w:i/>
          <w:iCs/>
          <w:color w:val="000000"/>
        </w:rPr>
        <w:t>may shift along the gender spectrum</w:t>
      </w:r>
      <w:r>
        <w:rPr>
          <w:i/>
          <w:iCs/>
          <w:color w:val="000000"/>
        </w:rPr>
        <w:t xml:space="preserve"> to find their gender identity more aligned with the sex assigned at birth.</w:t>
      </w:r>
      <w:r>
        <w:rPr>
          <w:color w:val="000000"/>
        </w:rPr>
        <w:t xml:space="preserve"> (Emphasis added)</w:t>
      </w:r>
    </w:p>
    <w:p w14:paraId="5A09145F" w14:textId="5A8CCBCD" w:rsidR="00170645" w:rsidRPr="00170645" w:rsidRDefault="00170645">
      <w:pPr>
        <w:pStyle w:val="FootnoteText"/>
        <w:rPr>
          <w:lang w:val="en-US"/>
        </w:rPr>
      </w:pPr>
    </w:p>
  </w:footnote>
  <w:footnote w:id="7">
    <w:p w14:paraId="6ED91611" w14:textId="2BE6B397" w:rsidR="00126780" w:rsidRDefault="00170645" w:rsidP="00126780">
      <w:r w:rsidRPr="00523034">
        <w:rPr>
          <w:rStyle w:val="FootnoteReference"/>
        </w:rPr>
        <w:footnoteRef/>
      </w:r>
      <w:r>
        <w:t xml:space="preserve"> </w:t>
      </w:r>
      <w:r w:rsidR="00126780" w:rsidRPr="00126780">
        <w:rPr>
          <w:rStyle w:val="Heading4Char"/>
        </w:rPr>
        <w:t>Social Transition</w:t>
      </w:r>
    </w:p>
    <w:p w14:paraId="0F2300C4" w14:textId="10E56B34" w:rsidR="00126780" w:rsidRPr="00E7770B" w:rsidRDefault="00126780" w:rsidP="00126780">
      <w:pPr>
        <w:rPr>
          <w:i/>
          <w:iCs/>
          <w:color w:val="000000"/>
        </w:rPr>
      </w:pPr>
      <w:r w:rsidRPr="00A82653">
        <w:t>WPATH</w:t>
      </w:r>
      <w:r>
        <w:t xml:space="preserve"> says </w:t>
      </w:r>
      <w:r w:rsidRPr="00305B8A">
        <w:rPr>
          <w:i/>
          <w:iCs/>
          <w:color w:val="000000"/>
        </w:rPr>
        <w:t>'This is a controversial issue, and divergent views are held by health professionals</w:t>
      </w:r>
      <w:r w:rsidRPr="00E7770B">
        <w:rPr>
          <w:i/>
          <w:iCs/>
          <w:color w:val="000000"/>
        </w:rPr>
        <w:t xml:space="preserve">. Transgender people should be supported through these steps of social transition to allow them to have positive experiences in the world as a truer representation of themselves. </w:t>
      </w:r>
      <w:r>
        <w:rPr>
          <w:i/>
          <w:iCs/>
          <w:color w:val="000000"/>
        </w:rPr>
        <w:br/>
      </w:r>
      <w:r w:rsidRPr="00A0230E">
        <w:rPr>
          <w:i/>
          <w:iCs/>
          <w:color w:val="000000"/>
        </w:rPr>
        <w:t>The current evidence base is insufficient to predict the</w:t>
      </w:r>
      <w:r>
        <w:rPr>
          <w:i/>
          <w:iCs/>
          <w:color w:val="000000"/>
        </w:rPr>
        <w:t xml:space="preserve"> </w:t>
      </w:r>
      <w:r w:rsidRPr="00A0230E">
        <w:rPr>
          <w:i/>
          <w:iCs/>
          <w:color w:val="000000"/>
        </w:rPr>
        <w:t>long-term outcomes of completing a gender role transition during early childhood.</w:t>
      </w:r>
    </w:p>
    <w:p w14:paraId="4CE12629" w14:textId="77777777" w:rsidR="00126780" w:rsidRPr="00716404" w:rsidRDefault="00126780" w:rsidP="00126780">
      <w:pPr>
        <w:spacing w:after="0"/>
      </w:pPr>
      <w:r w:rsidRPr="00115A1B">
        <w:rPr>
          <w:rFonts w:eastAsiaTheme="majorEastAsia"/>
        </w:rPr>
        <w:t>PATHA</w:t>
      </w:r>
      <w:r w:rsidRPr="00115A1B">
        <w:rPr>
          <w:rFonts w:eastAsiaTheme="majorEastAsia"/>
        </w:rPr>
        <w:br/>
      </w:r>
      <w:r w:rsidRPr="009D467B">
        <w:rPr>
          <w:i/>
          <w:iCs/>
        </w:rPr>
        <w:t>Transgender people should be supported through these steps of social transition to allow them to have positive experiences in the world as a truer representation of themselves. Social transition can also start out part-time in known safe environments, such as home or school</w:t>
      </w:r>
      <w:r>
        <w:t>.</w:t>
      </w:r>
    </w:p>
    <w:p w14:paraId="0811C6A1" w14:textId="7481CD41" w:rsidR="00170645" w:rsidRPr="00170645" w:rsidRDefault="00170645">
      <w:pPr>
        <w:pStyle w:val="FootnoteText"/>
        <w:rPr>
          <w:lang w:val="en-US"/>
        </w:rPr>
      </w:pPr>
    </w:p>
  </w:footnote>
  <w:footnote w:id="8">
    <w:p w14:paraId="3D881016" w14:textId="1221B2CF" w:rsidR="00126780" w:rsidRPr="00126780" w:rsidRDefault="00126780" w:rsidP="00126780">
      <w:r w:rsidRPr="00523034">
        <w:rPr>
          <w:rStyle w:val="FootnoteReference"/>
        </w:rPr>
        <w:footnoteRef/>
      </w:r>
      <w:r>
        <w:t xml:space="preserve"> </w:t>
      </w:r>
      <w:r w:rsidRPr="00587AC7">
        <w:t>The judgement states 54. “</w:t>
      </w:r>
      <w:r w:rsidRPr="00587AC7">
        <w:rPr>
          <w:i/>
          <w:iCs/>
        </w:rPr>
        <w:t xml:space="preserve">In using or prescribing an unapproved medicine, a practitioner is required to comply with the Medicines Act 1981. In addition, when prescribing an unapproved medicine to a patient, the practitioner has an obligation to satisfy themselves that the medicine is safe and efficacious. This legal obligation arises from Right 4(1) of the Code. Right 4(1) requires that services are provided with reasonable </w:t>
      </w:r>
      <w:r w:rsidRPr="00B71858">
        <w:rPr>
          <w:i/>
          <w:iCs/>
        </w:rPr>
        <w:t>care and skill…. and also relevant professional standards as set by the Medical Council of New Zealand</w:t>
      </w:r>
      <w:r w:rsidRPr="00B71858">
        <w:t xml:space="preserve"> (MCNZ).</w:t>
      </w:r>
      <w:r w:rsidRPr="00B71858">
        <w:br/>
        <w:t xml:space="preserve">56. …. </w:t>
      </w:r>
      <w:r w:rsidRPr="00B71858">
        <w:rPr>
          <w:i/>
          <w:iCs/>
        </w:rPr>
        <w:t xml:space="preserve">appropriate steps for a practitioner to take before prescribing an unapproved medication would be to carefully review independent </w:t>
      </w:r>
      <w:r w:rsidRPr="00587AC7">
        <w:rPr>
          <w:i/>
          <w:iCs/>
        </w:rPr>
        <w:t>clinical evidence, peer-reviewed journals, and to engage in discussions with more experienced colleagues</w:t>
      </w:r>
      <w:r w:rsidRPr="00587AC7">
        <w:t>.</w:t>
      </w:r>
    </w:p>
  </w:footnote>
  <w:footnote w:id="9">
    <w:p w14:paraId="515A4EC5" w14:textId="497B0E6E" w:rsidR="00126780" w:rsidRDefault="00126780" w:rsidP="00126780">
      <w:r w:rsidRPr="00523034">
        <w:rPr>
          <w:rStyle w:val="FootnoteReference"/>
        </w:rPr>
        <w:footnoteRef/>
      </w:r>
      <w:r>
        <w:t xml:space="preserve">  </w:t>
      </w:r>
      <w:r>
        <w:rPr>
          <w:rFonts w:asciiTheme="majorHAnsi" w:eastAsiaTheme="majorEastAsia" w:hAnsiTheme="majorHAnsi" w:cstheme="majorBidi"/>
          <w:color w:val="2F5496" w:themeColor="accent1" w:themeShade="BF"/>
        </w:rPr>
        <w:t>Puberty Suppression</w:t>
      </w:r>
    </w:p>
    <w:p w14:paraId="108CB230" w14:textId="77777777" w:rsidR="00126780" w:rsidRDefault="00126780" w:rsidP="00126780">
      <w:r>
        <w:t>WPATH</w:t>
      </w:r>
    </w:p>
    <w:p w14:paraId="009C8E05" w14:textId="77777777" w:rsidR="00126780" w:rsidRDefault="00126780" w:rsidP="00126780">
      <w:pPr>
        <w:rPr>
          <w:i/>
          <w:iCs/>
        </w:rPr>
      </w:pPr>
      <w:r>
        <w:rPr>
          <w:i/>
          <w:iCs/>
        </w:rPr>
        <w:t xml:space="preserve">In order for adolescents to receive puberty suppressing hormones, the following minimum criteria </w:t>
      </w:r>
      <w:r>
        <w:rPr>
          <w:i/>
          <w:iCs/>
        </w:rPr>
        <w:br/>
        <w:t>must be met:</w:t>
      </w:r>
      <w:r>
        <w:rPr>
          <w:i/>
          <w:iCs/>
        </w:rPr>
        <w:br/>
        <w:t xml:space="preserve">1. The adolescent has demonstrated a long-lasting and intense pattern of gender nonconformity </w:t>
      </w:r>
      <w:r>
        <w:rPr>
          <w:i/>
          <w:iCs/>
        </w:rPr>
        <w:br/>
        <w:t>or gender dysphoria (whether suppressed or expressed);</w:t>
      </w:r>
      <w:r>
        <w:rPr>
          <w:i/>
          <w:iCs/>
        </w:rPr>
        <w:br/>
        <w:t xml:space="preserve">2. Gender dysphoria emerged or worsened with the onset of puberty; </w:t>
      </w:r>
      <w:r>
        <w:rPr>
          <w:i/>
          <w:iCs/>
        </w:rPr>
        <w:br/>
        <w:t xml:space="preserve">3. Any co-existing psychological, medical, or social problems that could interfere with treatment </w:t>
      </w:r>
      <w:r>
        <w:rPr>
          <w:i/>
          <w:iCs/>
        </w:rPr>
        <w:br/>
        <w:t>(e.g., that may compromise treatment adherence) have been addressed, such that the adolescent</w:t>
      </w:r>
      <w:r>
        <w:rPr>
          <w:rFonts w:cs="Calibri"/>
          <w:i/>
          <w:iCs/>
        </w:rPr>
        <w:t>’</w:t>
      </w:r>
      <w:r>
        <w:rPr>
          <w:i/>
          <w:iCs/>
        </w:rPr>
        <w:t xml:space="preserve">s situation and functioning are stable enough to start treatment; </w:t>
      </w:r>
      <w:r>
        <w:rPr>
          <w:i/>
          <w:iCs/>
        </w:rPr>
        <w:br/>
        <w:t>4. The adolescent has given informed consent and, particularly when the adolescent has not reached the age of medical consent, the parents or other caretakers or guardians have consented to the treatment and are involved in supporting the adolescent throughout the treatment process</w:t>
      </w:r>
    </w:p>
    <w:p w14:paraId="1100FA3C" w14:textId="77777777" w:rsidR="00126780" w:rsidRDefault="00126780" w:rsidP="00126780">
      <w:r>
        <w:t>PATHA</w:t>
      </w:r>
    </w:p>
    <w:p w14:paraId="6D8C8DE9" w14:textId="77777777" w:rsidR="00126780" w:rsidRDefault="00126780" w:rsidP="00126780">
      <w:pPr>
        <w:rPr>
          <w:i/>
          <w:iCs/>
        </w:rPr>
      </w:pPr>
      <w:r>
        <w:rPr>
          <w:i/>
          <w:iCs/>
        </w:rPr>
        <w:t>Be aware of the positive impact of puberty blockers (GnRH agonists) on future well-being. Be mindful of the need to refer promptly and be aware of referral pathways.</w:t>
      </w:r>
    </w:p>
    <w:p w14:paraId="368B7FC2" w14:textId="442D1F3D" w:rsidR="00126780" w:rsidRPr="00126780" w:rsidRDefault="00126780">
      <w:pPr>
        <w:pStyle w:val="FootnoteText"/>
        <w:rPr>
          <w:lang w:val="en-US"/>
        </w:rPr>
      </w:pPr>
    </w:p>
  </w:footnote>
  <w:footnote w:id="10">
    <w:p w14:paraId="30313B1C" w14:textId="77777777" w:rsidR="000F3EAB" w:rsidRDefault="000F3EAB" w:rsidP="000F3EAB">
      <w:pPr>
        <w:rPr>
          <w:rFonts w:asciiTheme="majorHAnsi" w:eastAsiaTheme="majorEastAsia" w:hAnsiTheme="majorHAnsi" w:cstheme="majorBidi"/>
          <w:color w:val="2F5496" w:themeColor="accent1" w:themeShade="BF"/>
        </w:rPr>
      </w:pPr>
      <w:r w:rsidRPr="00523034">
        <w:rPr>
          <w:rStyle w:val="FootnoteReference"/>
        </w:rPr>
        <w:footnoteRef/>
      </w:r>
      <w:r>
        <w:t xml:space="preserve"> </w:t>
      </w:r>
      <w:r>
        <w:rPr>
          <w:rFonts w:asciiTheme="majorHAnsi" w:eastAsiaTheme="majorEastAsia" w:hAnsiTheme="majorHAnsi" w:cstheme="majorBidi"/>
          <w:color w:val="2F5496" w:themeColor="accent1" w:themeShade="BF"/>
        </w:rPr>
        <w:t>Blockers potential to  impact on male genitals</w:t>
      </w:r>
    </w:p>
    <w:p w14:paraId="6BB56535" w14:textId="77777777" w:rsidR="000F3EAB" w:rsidRDefault="000F3EAB" w:rsidP="000F3EAB">
      <w:pPr>
        <w:rPr>
          <w:i/>
          <w:iCs/>
        </w:rPr>
      </w:pPr>
      <w:r>
        <w:rPr>
          <w:i/>
          <w:iCs/>
        </w:rPr>
        <w:t>WPATH</w:t>
      </w:r>
    </w:p>
    <w:p w14:paraId="28F884E6" w14:textId="77777777" w:rsidR="000F3EAB" w:rsidRDefault="000F3EAB" w:rsidP="000F3EAB">
      <w:pPr>
        <w:rPr>
          <w:i/>
          <w:iCs/>
        </w:rPr>
      </w:pPr>
      <w:r>
        <w:rPr>
          <w:i/>
          <w:iCs/>
        </w:rPr>
        <w:t>Adolescents with male genitalia who start GnRH analogues early in puberty should be informed that this could result in insufficient penile tissue for penile inversion vaginoplasty techniques (alternative techniques, such as the use of a skin graft or colon tissue, are available).</w:t>
      </w:r>
    </w:p>
    <w:p w14:paraId="610F374E" w14:textId="77777777" w:rsidR="000F3EAB" w:rsidRDefault="000F3EAB" w:rsidP="000F3EAB">
      <w:r>
        <w:t>PATHA</w:t>
      </w:r>
    </w:p>
    <w:p w14:paraId="1FC99DAE" w14:textId="77777777" w:rsidR="000F3EAB" w:rsidRDefault="000F3EAB" w:rsidP="000F3EAB">
      <w:pPr>
        <w:rPr>
          <w:i/>
          <w:iCs/>
        </w:rPr>
      </w:pPr>
      <w:r>
        <w:rPr>
          <w:i/>
          <w:iCs/>
        </w:rPr>
        <w:t>For trans women and transfeminine people, puberty suppression at Tanner stage 2-3 may limit the availability of penile and scrotal skin used to create a neovagina and labia. This needs to be balanced with the desire to avoid voice deepening and other secondary sexual characteristics which will progress if continuing past Tanner stage 2-3.</w:t>
      </w:r>
    </w:p>
    <w:p w14:paraId="27D64C0C" w14:textId="14B2D6BC" w:rsidR="000F3EAB" w:rsidRPr="000F3EAB" w:rsidRDefault="000F3EAB">
      <w:pPr>
        <w:pStyle w:val="FootnoteText"/>
        <w:rPr>
          <w:lang w:val="en-US"/>
        </w:rPr>
      </w:pPr>
    </w:p>
  </w:footnote>
  <w:footnote w:id="11">
    <w:p w14:paraId="122798CB" w14:textId="77777777" w:rsidR="000F3EAB" w:rsidRDefault="000F3EAB" w:rsidP="000F3EAB">
      <w:pPr>
        <w:pStyle w:val="Heading4"/>
      </w:pPr>
      <w:r w:rsidRPr="00523034">
        <w:rPr>
          <w:rStyle w:val="FootnoteReference"/>
        </w:rPr>
        <w:footnoteRef/>
      </w:r>
      <w:r>
        <w:t xml:space="preserve"> Involvement of the transgender community in clinical guideline development</w:t>
      </w:r>
    </w:p>
    <w:p w14:paraId="141D5A4C" w14:textId="77777777" w:rsidR="000F3EAB" w:rsidRDefault="000F3EAB" w:rsidP="000F3EAB">
      <w:r>
        <w:t>WPATH</w:t>
      </w:r>
    </w:p>
    <w:p w14:paraId="451DD214" w14:textId="77777777" w:rsidR="000F3EAB" w:rsidRDefault="000F3EAB" w:rsidP="000F3EAB">
      <w:pPr>
        <w:spacing w:after="0"/>
      </w:pPr>
      <w:r>
        <w:t xml:space="preserve">The Standards of Care revision process had donor funds which supported amongst other things a </w:t>
      </w:r>
    </w:p>
    <w:p w14:paraId="24111326" w14:textId="77777777" w:rsidR="000F3EAB" w:rsidRDefault="000F3EAB" w:rsidP="000F3EAB">
      <w:pPr>
        <w:spacing w:after="0"/>
        <w:rPr>
          <w:i/>
          <w:iCs/>
        </w:rPr>
      </w:pPr>
      <w:r>
        <w:rPr>
          <w:i/>
          <w:iCs/>
        </w:rPr>
        <w:t>‘Process of soliciting international input on proposed changes from gender identity professionals</w:t>
      </w:r>
    </w:p>
    <w:p w14:paraId="3E185007" w14:textId="77777777" w:rsidR="000F3EAB" w:rsidRDefault="000F3EAB" w:rsidP="000F3EAB">
      <w:pPr>
        <w:spacing w:after="0"/>
        <w:rPr>
          <w:i/>
          <w:iCs/>
          <w:color w:val="000000"/>
        </w:rPr>
      </w:pPr>
      <w:r>
        <w:rPr>
          <w:i/>
          <w:iCs/>
        </w:rPr>
        <w:t>and the transgender community.’</w:t>
      </w:r>
    </w:p>
    <w:p w14:paraId="7B24FE82" w14:textId="77777777" w:rsidR="000F3EAB" w:rsidRDefault="000F3EAB" w:rsidP="000F3EAB">
      <w:pPr>
        <w:spacing w:after="0"/>
      </w:pPr>
      <w:r>
        <w:t>PATHA</w:t>
      </w:r>
    </w:p>
    <w:p w14:paraId="48CBF592" w14:textId="77777777" w:rsidR="000F3EAB" w:rsidRPr="0020598D" w:rsidRDefault="000F3EAB" w:rsidP="000F3EAB">
      <w:pPr>
        <w:pStyle w:val="FootnoteText"/>
        <w:rPr>
          <w:i/>
          <w:iCs/>
          <w:sz w:val="22"/>
          <w:szCs w:val="22"/>
        </w:rPr>
      </w:pPr>
      <w:r>
        <w:rPr>
          <w:i/>
          <w:iCs/>
          <w:color w:val="000000"/>
        </w:rPr>
        <w:t>‘</w:t>
      </w:r>
      <w:r w:rsidRPr="0020598D">
        <w:rPr>
          <w:i/>
          <w:iCs/>
          <w:sz w:val="22"/>
          <w:szCs w:val="22"/>
        </w:rPr>
        <w:t>Transgender people have been involved in the steering of the project, including development of services and these guidelines. The importance of trans community leadership in the development of trans healthcare services is paramount.’</w:t>
      </w:r>
    </w:p>
    <w:p w14:paraId="7B335069" w14:textId="45C2F15D" w:rsidR="000F3EAB" w:rsidRPr="000F3EAB" w:rsidRDefault="000F3EA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8236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026CD"/>
    <w:multiLevelType w:val="hybridMultilevel"/>
    <w:tmpl w:val="7DE09DA2"/>
    <w:lvl w:ilvl="0" w:tplc="DE54CA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5669A9"/>
    <w:multiLevelType w:val="hybridMultilevel"/>
    <w:tmpl w:val="53BE0094"/>
    <w:lvl w:ilvl="0" w:tplc="A01E3A9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A8F2FA7"/>
    <w:multiLevelType w:val="hybridMultilevel"/>
    <w:tmpl w:val="DFEE2812"/>
    <w:lvl w:ilvl="0" w:tplc="8558FBA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D3520BC"/>
    <w:multiLevelType w:val="hybridMultilevel"/>
    <w:tmpl w:val="16D8D3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4660E8A"/>
    <w:multiLevelType w:val="hybridMultilevel"/>
    <w:tmpl w:val="CBEA7F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992FAA"/>
    <w:multiLevelType w:val="hybridMultilevel"/>
    <w:tmpl w:val="CBEA7FCA"/>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B25CE7"/>
    <w:multiLevelType w:val="hybridMultilevel"/>
    <w:tmpl w:val="C9984FE8"/>
    <w:lvl w:ilvl="0" w:tplc="F2B6CB62">
      <w:start w:val="1"/>
      <w:numFmt w:val="decimal"/>
      <w:lvlText w:val="%1."/>
      <w:lvlJc w:val="left"/>
      <w:pPr>
        <w:ind w:left="360" w:hanging="360"/>
      </w:pPr>
      <w:rPr>
        <w:rFonts w:hint="default"/>
      </w:rPr>
    </w:lvl>
    <w:lvl w:ilvl="1" w:tplc="14090019" w:tentative="1">
      <w:start w:val="1"/>
      <w:numFmt w:val="lowerLetter"/>
      <w:lvlText w:val="%2."/>
      <w:lvlJc w:val="left"/>
      <w:pPr>
        <w:ind w:left="1500" w:hanging="360"/>
      </w:pPr>
    </w:lvl>
    <w:lvl w:ilvl="2" w:tplc="1409001B" w:tentative="1">
      <w:start w:val="1"/>
      <w:numFmt w:val="lowerRoman"/>
      <w:lvlText w:val="%3."/>
      <w:lvlJc w:val="right"/>
      <w:pPr>
        <w:ind w:left="2220" w:hanging="180"/>
      </w:pPr>
    </w:lvl>
    <w:lvl w:ilvl="3" w:tplc="1409000F" w:tentative="1">
      <w:start w:val="1"/>
      <w:numFmt w:val="decimal"/>
      <w:lvlText w:val="%4."/>
      <w:lvlJc w:val="left"/>
      <w:pPr>
        <w:ind w:left="2940" w:hanging="360"/>
      </w:pPr>
    </w:lvl>
    <w:lvl w:ilvl="4" w:tplc="14090019" w:tentative="1">
      <w:start w:val="1"/>
      <w:numFmt w:val="lowerLetter"/>
      <w:lvlText w:val="%5."/>
      <w:lvlJc w:val="left"/>
      <w:pPr>
        <w:ind w:left="3660" w:hanging="360"/>
      </w:pPr>
    </w:lvl>
    <w:lvl w:ilvl="5" w:tplc="1409001B" w:tentative="1">
      <w:start w:val="1"/>
      <w:numFmt w:val="lowerRoman"/>
      <w:lvlText w:val="%6."/>
      <w:lvlJc w:val="right"/>
      <w:pPr>
        <w:ind w:left="4380" w:hanging="180"/>
      </w:pPr>
    </w:lvl>
    <w:lvl w:ilvl="6" w:tplc="1409000F" w:tentative="1">
      <w:start w:val="1"/>
      <w:numFmt w:val="decimal"/>
      <w:lvlText w:val="%7."/>
      <w:lvlJc w:val="left"/>
      <w:pPr>
        <w:ind w:left="5100" w:hanging="360"/>
      </w:pPr>
    </w:lvl>
    <w:lvl w:ilvl="7" w:tplc="14090019" w:tentative="1">
      <w:start w:val="1"/>
      <w:numFmt w:val="lowerLetter"/>
      <w:lvlText w:val="%8."/>
      <w:lvlJc w:val="left"/>
      <w:pPr>
        <w:ind w:left="5820" w:hanging="360"/>
      </w:pPr>
    </w:lvl>
    <w:lvl w:ilvl="8" w:tplc="1409001B" w:tentative="1">
      <w:start w:val="1"/>
      <w:numFmt w:val="lowerRoman"/>
      <w:lvlText w:val="%9."/>
      <w:lvlJc w:val="right"/>
      <w:pPr>
        <w:ind w:left="6540" w:hanging="180"/>
      </w:pPr>
    </w:lvl>
  </w:abstractNum>
  <w:abstractNum w:abstractNumId="8" w15:restartNumberingAfterBreak="0">
    <w:nsid w:val="2A31547A"/>
    <w:multiLevelType w:val="hybridMultilevel"/>
    <w:tmpl w:val="1C7AFBF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4B83C66"/>
    <w:multiLevelType w:val="hybridMultilevel"/>
    <w:tmpl w:val="2BC0EC5A"/>
    <w:lvl w:ilvl="0" w:tplc="DE54CA82">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80E2443"/>
    <w:multiLevelType w:val="hybridMultilevel"/>
    <w:tmpl w:val="1F3A6BF6"/>
    <w:lvl w:ilvl="0" w:tplc="499412C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9AB16E6"/>
    <w:multiLevelType w:val="hybridMultilevel"/>
    <w:tmpl w:val="9966460C"/>
    <w:lvl w:ilvl="0" w:tplc="C276BA08">
      <w:start w:val="1"/>
      <w:numFmt w:val="bullet"/>
      <w:pStyle w:val="ListParagraph"/>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EC53AB5"/>
    <w:multiLevelType w:val="hybridMultilevel"/>
    <w:tmpl w:val="CBEA7F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EE7723B"/>
    <w:multiLevelType w:val="hybridMultilevel"/>
    <w:tmpl w:val="0C883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7D1067"/>
    <w:multiLevelType w:val="hybridMultilevel"/>
    <w:tmpl w:val="1E5E81BA"/>
    <w:lvl w:ilvl="0" w:tplc="79926FA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6F60EEC"/>
    <w:multiLevelType w:val="hybridMultilevel"/>
    <w:tmpl w:val="CBEA7F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A9458D5"/>
    <w:multiLevelType w:val="hybridMultilevel"/>
    <w:tmpl w:val="3A32FF24"/>
    <w:lvl w:ilvl="0" w:tplc="91CE0D8E">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E456895"/>
    <w:multiLevelType w:val="hybridMultilevel"/>
    <w:tmpl w:val="96CE0C26"/>
    <w:lvl w:ilvl="0" w:tplc="49A23EB0">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4E7C25E1"/>
    <w:multiLevelType w:val="hybridMultilevel"/>
    <w:tmpl w:val="CBEA7F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F916A1"/>
    <w:multiLevelType w:val="hybridMultilevel"/>
    <w:tmpl w:val="B908ED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2B115FF"/>
    <w:multiLevelType w:val="hybridMultilevel"/>
    <w:tmpl w:val="6A8E58C6"/>
    <w:lvl w:ilvl="0" w:tplc="20B2BC3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6233D6F"/>
    <w:multiLevelType w:val="hybridMultilevel"/>
    <w:tmpl w:val="169E15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7366B13"/>
    <w:multiLevelType w:val="hybridMultilevel"/>
    <w:tmpl w:val="1D849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5B4C25"/>
    <w:multiLevelType w:val="hybridMultilevel"/>
    <w:tmpl w:val="CBEA7F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7B64C8"/>
    <w:multiLevelType w:val="hybridMultilevel"/>
    <w:tmpl w:val="35F20C40"/>
    <w:lvl w:ilvl="0" w:tplc="4B3ED8A4">
      <w:start w:val="1"/>
      <w:numFmt w:val="decimal"/>
      <w:lvlText w:val="%1."/>
      <w:lvlJc w:val="left"/>
      <w:pPr>
        <w:ind w:left="6598" w:hanging="360"/>
      </w:pPr>
      <w:rPr>
        <w:rFonts w:hint="default"/>
        <w:i/>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DF3735"/>
    <w:multiLevelType w:val="hybridMultilevel"/>
    <w:tmpl w:val="4682701C"/>
    <w:lvl w:ilvl="0" w:tplc="4D786DCA">
      <w:start w:val="1"/>
      <w:numFmt w:val="bullet"/>
      <w:lvlText w:val=""/>
      <w:lvlJc w:val="left"/>
      <w:pPr>
        <w:ind w:left="720" w:hanging="360"/>
      </w:pPr>
      <w:rPr>
        <w:rFonts w:ascii="Symbol" w:hAnsi="Symbol" w:hint="default"/>
        <w:b/>
        <w:bCs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A552016"/>
    <w:multiLevelType w:val="hybridMultilevel"/>
    <w:tmpl w:val="61D496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BCA62F2"/>
    <w:multiLevelType w:val="hybridMultilevel"/>
    <w:tmpl w:val="FA923CC6"/>
    <w:lvl w:ilvl="0" w:tplc="082022E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840901"/>
    <w:multiLevelType w:val="hybridMultilevel"/>
    <w:tmpl w:val="41500BE2"/>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6460B7"/>
    <w:multiLevelType w:val="hybridMultilevel"/>
    <w:tmpl w:val="CBEA7FC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5737EEF"/>
    <w:multiLevelType w:val="hybridMultilevel"/>
    <w:tmpl w:val="C8563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7885F45"/>
    <w:multiLevelType w:val="hybridMultilevel"/>
    <w:tmpl w:val="7F5666B0"/>
    <w:lvl w:ilvl="0" w:tplc="C434A7A6">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2" w15:restartNumberingAfterBreak="0">
    <w:nsid w:val="7CEC3892"/>
    <w:multiLevelType w:val="hybridMultilevel"/>
    <w:tmpl w:val="0A3E49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1843466">
    <w:abstractNumId w:val="0"/>
  </w:num>
  <w:num w:numId="2" w16cid:durableId="1518422766">
    <w:abstractNumId w:val="0"/>
  </w:num>
  <w:num w:numId="3" w16cid:durableId="103230259">
    <w:abstractNumId w:val="0"/>
  </w:num>
  <w:num w:numId="4" w16cid:durableId="2026054750">
    <w:abstractNumId w:val="24"/>
  </w:num>
  <w:num w:numId="5" w16cid:durableId="780104359">
    <w:abstractNumId w:val="24"/>
  </w:num>
  <w:num w:numId="6" w16cid:durableId="1931154569">
    <w:abstractNumId w:val="14"/>
  </w:num>
  <w:num w:numId="7" w16cid:durableId="1532960128">
    <w:abstractNumId w:val="30"/>
  </w:num>
  <w:num w:numId="8" w16cid:durableId="1209730833">
    <w:abstractNumId w:val="10"/>
  </w:num>
  <w:num w:numId="9" w16cid:durableId="471564145">
    <w:abstractNumId w:val="21"/>
  </w:num>
  <w:num w:numId="10" w16cid:durableId="1720667964">
    <w:abstractNumId w:val="2"/>
  </w:num>
  <w:num w:numId="11" w16cid:durableId="782306032">
    <w:abstractNumId w:val="13"/>
  </w:num>
  <w:num w:numId="12" w16cid:durableId="1468014825">
    <w:abstractNumId w:val="11"/>
  </w:num>
  <w:num w:numId="13" w16cid:durableId="929117224">
    <w:abstractNumId w:val="4"/>
  </w:num>
  <w:num w:numId="14" w16cid:durableId="1798330219">
    <w:abstractNumId w:val="27"/>
  </w:num>
  <w:num w:numId="15" w16cid:durableId="1056664324">
    <w:abstractNumId w:val="16"/>
  </w:num>
  <w:num w:numId="16" w16cid:durableId="75253487">
    <w:abstractNumId w:val="3"/>
  </w:num>
  <w:num w:numId="17" w16cid:durableId="990525326">
    <w:abstractNumId w:val="8"/>
  </w:num>
  <w:num w:numId="18" w16cid:durableId="1301113254">
    <w:abstractNumId w:val="6"/>
  </w:num>
  <w:num w:numId="19" w16cid:durableId="489685729">
    <w:abstractNumId w:val="28"/>
  </w:num>
  <w:num w:numId="20" w16cid:durableId="944927289">
    <w:abstractNumId w:val="3"/>
  </w:num>
  <w:num w:numId="21" w16cid:durableId="779371219">
    <w:abstractNumId w:val="3"/>
  </w:num>
  <w:num w:numId="22" w16cid:durableId="52625708">
    <w:abstractNumId w:val="3"/>
  </w:num>
  <w:num w:numId="23" w16cid:durableId="26880333">
    <w:abstractNumId w:val="3"/>
  </w:num>
  <w:num w:numId="24" w16cid:durableId="883180939">
    <w:abstractNumId w:val="7"/>
  </w:num>
  <w:num w:numId="25" w16cid:durableId="521284974">
    <w:abstractNumId w:val="7"/>
    <w:lvlOverride w:ilvl="0">
      <w:startOverride w:val="1"/>
    </w:lvlOverride>
  </w:num>
  <w:num w:numId="26" w16cid:durableId="57754215">
    <w:abstractNumId w:val="7"/>
  </w:num>
  <w:num w:numId="27" w16cid:durableId="1990280772">
    <w:abstractNumId w:val="22"/>
  </w:num>
  <w:num w:numId="28" w16cid:durableId="217009418">
    <w:abstractNumId w:val="3"/>
  </w:num>
  <w:num w:numId="29" w16cid:durableId="2120907482">
    <w:abstractNumId w:val="5"/>
  </w:num>
  <w:num w:numId="30" w16cid:durableId="1601451691">
    <w:abstractNumId w:val="18"/>
  </w:num>
  <w:num w:numId="31" w16cid:durableId="1831553323">
    <w:abstractNumId w:val="12"/>
  </w:num>
  <w:num w:numId="32" w16cid:durableId="422603760">
    <w:abstractNumId w:val="29"/>
  </w:num>
  <w:num w:numId="33" w16cid:durableId="419183207">
    <w:abstractNumId w:val="15"/>
  </w:num>
  <w:num w:numId="34" w16cid:durableId="1889564226">
    <w:abstractNumId w:val="23"/>
  </w:num>
  <w:num w:numId="35" w16cid:durableId="377047800">
    <w:abstractNumId w:val="20"/>
  </w:num>
  <w:num w:numId="36" w16cid:durableId="1962417325">
    <w:abstractNumId w:val="17"/>
  </w:num>
  <w:num w:numId="37" w16cid:durableId="1545169005">
    <w:abstractNumId w:val="25"/>
  </w:num>
  <w:num w:numId="38" w16cid:durableId="462426382">
    <w:abstractNumId w:val="32"/>
  </w:num>
  <w:num w:numId="39" w16cid:durableId="1612321755">
    <w:abstractNumId w:val="26"/>
  </w:num>
  <w:num w:numId="40" w16cid:durableId="1291400314">
    <w:abstractNumId w:val="31"/>
  </w:num>
  <w:num w:numId="41" w16cid:durableId="793980997">
    <w:abstractNumId w:val="32"/>
  </w:num>
  <w:num w:numId="42" w16cid:durableId="43991342">
    <w:abstractNumId w:val="31"/>
  </w:num>
  <w:num w:numId="43" w16cid:durableId="1452627544">
    <w:abstractNumId w:val="9"/>
  </w:num>
  <w:num w:numId="44" w16cid:durableId="295648179">
    <w:abstractNumId w:val="1"/>
  </w:num>
  <w:num w:numId="45" w16cid:durableId="1336953057">
    <w:abstractNumId w:val="17"/>
  </w:num>
  <w:num w:numId="46" w16cid:durableId="2035499857">
    <w:abstractNumId w:val="11"/>
  </w:num>
  <w:num w:numId="47" w16cid:durableId="690368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B7"/>
    <w:rsid w:val="00000193"/>
    <w:rsid w:val="0000089F"/>
    <w:rsid w:val="000008A7"/>
    <w:rsid w:val="00001155"/>
    <w:rsid w:val="00001317"/>
    <w:rsid w:val="00001607"/>
    <w:rsid w:val="000019BF"/>
    <w:rsid w:val="00001D24"/>
    <w:rsid w:val="000020E2"/>
    <w:rsid w:val="0000299A"/>
    <w:rsid w:val="00002ADA"/>
    <w:rsid w:val="00002AE5"/>
    <w:rsid w:val="00002D35"/>
    <w:rsid w:val="00003A05"/>
    <w:rsid w:val="00005CAF"/>
    <w:rsid w:val="00006AAF"/>
    <w:rsid w:val="000074CF"/>
    <w:rsid w:val="000075CB"/>
    <w:rsid w:val="00007EA0"/>
    <w:rsid w:val="000114D6"/>
    <w:rsid w:val="00011BF2"/>
    <w:rsid w:val="00012B3D"/>
    <w:rsid w:val="000140A9"/>
    <w:rsid w:val="0001485F"/>
    <w:rsid w:val="000153FF"/>
    <w:rsid w:val="0001547D"/>
    <w:rsid w:val="00016989"/>
    <w:rsid w:val="0001717E"/>
    <w:rsid w:val="000174C3"/>
    <w:rsid w:val="00017ABB"/>
    <w:rsid w:val="00020379"/>
    <w:rsid w:val="0002058E"/>
    <w:rsid w:val="00020804"/>
    <w:rsid w:val="00020EB3"/>
    <w:rsid w:val="0002156C"/>
    <w:rsid w:val="00021661"/>
    <w:rsid w:val="00021C67"/>
    <w:rsid w:val="00023404"/>
    <w:rsid w:val="000246CF"/>
    <w:rsid w:val="000249C3"/>
    <w:rsid w:val="00024A63"/>
    <w:rsid w:val="00024BBE"/>
    <w:rsid w:val="00025A8A"/>
    <w:rsid w:val="00026790"/>
    <w:rsid w:val="000269F6"/>
    <w:rsid w:val="00030223"/>
    <w:rsid w:val="000311B0"/>
    <w:rsid w:val="00031B52"/>
    <w:rsid w:val="0003273E"/>
    <w:rsid w:val="0003462D"/>
    <w:rsid w:val="000348F4"/>
    <w:rsid w:val="0003529C"/>
    <w:rsid w:val="000361BF"/>
    <w:rsid w:val="00036D97"/>
    <w:rsid w:val="000376D2"/>
    <w:rsid w:val="00037BAF"/>
    <w:rsid w:val="00037E81"/>
    <w:rsid w:val="000409F1"/>
    <w:rsid w:val="00040D5A"/>
    <w:rsid w:val="00041701"/>
    <w:rsid w:val="00041AD9"/>
    <w:rsid w:val="00041B69"/>
    <w:rsid w:val="0004221E"/>
    <w:rsid w:val="000429D1"/>
    <w:rsid w:val="00042C9B"/>
    <w:rsid w:val="0004312A"/>
    <w:rsid w:val="0004316E"/>
    <w:rsid w:val="000431FB"/>
    <w:rsid w:val="00043B81"/>
    <w:rsid w:val="00043F32"/>
    <w:rsid w:val="0004503A"/>
    <w:rsid w:val="000455A0"/>
    <w:rsid w:val="00046474"/>
    <w:rsid w:val="00046475"/>
    <w:rsid w:val="00046E25"/>
    <w:rsid w:val="0004774E"/>
    <w:rsid w:val="00047B95"/>
    <w:rsid w:val="000506A2"/>
    <w:rsid w:val="00050B3A"/>
    <w:rsid w:val="00050CB3"/>
    <w:rsid w:val="00050E50"/>
    <w:rsid w:val="00050F41"/>
    <w:rsid w:val="00051D20"/>
    <w:rsid w:val="00052279"/>
    <w:rsid w:val="000532DC"/>
    <w:rsid w:val="00053882"/>
    <w:rsid w:val="0005389D"/>
    <w:rsid w:val="00054F0C"/>
    <w:rsid w:val="0005544D"/>
    <w:rsid w:val="0005650E"/>
    <w:rsid w:val="00056C4A"/>
    <w:rsid w:val="00056E88"/>
    <w:rsid w:val="000574D0"/>
    <w:rsid w:val="000574FF"/>
    <w:rsid w:val="00060233"/>
    <w:rsid w:val="00060A83"/>
    <w:rsid w:val="00060C40"/>
    <w:rsid w:val="00061016"/>
    <w:rsid w:val="00061149"/>
    <w:rsid w:val="000632D8"/>
    <w:rsid w:val="00063422"/>
    <w:rsid w:val="000637A1"/>
    <w:rsid w:val="0006380C"/>
    <w:rsid w:val="00064071"/>
    <w:rsid w:val="0006455E"/>
    <w:rsid w:val="000645A9"/>
    <w:rsid w:val="00065B51"/>
    <w:rsid w:val="00067037"/>
    <w:rsid w:val="00067888"/>
    <w:rsid w:val="000679C6"/>
    <w:rsid w:val="0007026A"/>
    <w:rsid w:val="0007043B"/>
    <w:rsid w:val="0007130B"/>
    <w:rsid w:val="00071C0B"/>
    <w:rsid w:val="00071E1C"/>
    <w:rsid w:val="00071E6D"/>
    <w:rsid w:val="00072419"/>
    <w:rsid w:val="000733B8"/>
    <w:rsid w:val="00073935"/>
    <w:rsid w:val="00073C1C"/>
    <w:rsid w:val="0007438E"/>
    <w:rsid w:val="00074465"/>
    <w:rsid w:val="000746C4"/>
    <w:rsid w:val="00074A01"/>
    <w:rsid w:val="00074B40"/>
    <w:rsid w:val="00074D0C"/>
    <w:rsid w:val="000750D7"/>
    <w:rsid w:val="00075B3D"/>
    <w:rsid w:val="0007655C"/>
    <w:rsid w:val="000766AA"/>
    <w:rsid w:val="00076738"/>
    <w:rsid w:val="00077361"/>
    <w:rsid w:val="00077893"/>
    <w:rsid w:val="00077C72"/>
    <w:rsid w:val="00077D8C"/>
    <w:rsid w:val="0008073C"/>
    <w:rsid w:val="00080766"/>
    <w:rsid w:val="00080CC1"/>
    <w:rsid w:val="00080E12"/>
    <w:rsid w:val="0008171E"/>
    <w:rsid w:val="00082F9A"/>
    <w:rsid w:val="000830F9"/>
    <w:rsid w:val="00083127"/>
    <w:rsid w:val="00083889"/>
    <w:rsid w:val="000842D6"/>
    <w:rsid w:val="000846E5"/>
    <w:rsid w:val="00084DC8"/>
    <w:rsid w:val="00085401"/>
    <w:rsid w:val="00085899"/>
    <w:rsid w:val="000859A7"/>
    <w:rsid w:val="0008620C"/>
    <w:rsid w:val="00086A39"/>
    <w:rsid w:val="00086C8F"/>
    <w:rsid w:val="00087092"/>
    <w:rsid w:val="000902DB"/>
    <w:rsid w:val="00090BF0"/>
    <w:rsid w:val="00090C95"/>
    <w:rsid w:val="0009149B"/>
    <w:rsid w:val="0009284F"/>
    <w:rsid w:val="0009334C"/>
    <w:rsid w:val="00093548"/>
    <w:rsid w:val="00093605"/>
    <w:rsid w:val="000940F1"/>
    <w:rsid w:val="0009471C"/>
    <w:rsid w:val="00094F79"/>
    <w:rsid w:val="000953DF"/>
    <w:rsid w:val="0009542B"/>
    <w:rsid w:val="00095EA4"/>
    <w:rsid w:val="000960A4"/>
    <w:rsid w:val="00096F5A"/>
    <w:rsid w:val="000977C5"/>
    <w:rsid w:val="000A032C"/>
    <w:rsid w:val="000A050F"/>
    <w:rsid w:val="000A0AF8"/>
    <w:rsid w:val="000A1DC1"/>
    <w:rsid w:val="000A25C4"/>
    <w:rsid w:val="000A2A8F"/>
    <w:rsid w:val="000A2E0F"/>
    <w:rsid w:val="000A3ED3"/>
    <w:rsid w:val="000A4272"/>
    <w:rsid w:val="000A446A"/>
    <w:rsid w:val="000A4B93"/>
    <w:rsid w:val="000A4BB1"/>
    <w:rsid w:val="000A5350"/>
    <w:rsid w:val="000A5404"/>
    <w:rsid w:val="000A56A0"/>
    <w:rsid w:val="000A5C31"/>
    <w:rsid w:val="000A5F92"/>
    <w:rsid w:val="000A5FDF"/>
    <w:rsid w:val="000A6478"/>
    <w:rsid w:val="000A64C4"/>
    <w:rsid w:val="000A6609"/>
    <w:rsid w:val="000A6669"/>
    <w:rsid w:val="000A66EE"/>
    <w:rsid w:val="000A6774"/>
    <w:rsid w:val="000B0466"/>
    <w:rsid w:val="000B376A"/>
    <w:rsid w:val="000B3861"/>
    <w:rsid w:val="000B39A2"/>
    <w:rsid w:val="000B3DB7"/>
    <w:rsid w:val="000B431A"/>
    <w:rsid w:val="000B4A70"/>
    <w:rsid w:val="000B6365"/>
    <w:rsid w:val="000B797B"/>
    <w:rsid w:val="000B7A97"/>
    <w:rsid w:val="000B7ED7"/>
    <w:rsid w:val="000C02DD"/>
    <w:rsid w:val="000C0BF4"/>
    <w:rsid w:val="000C1A4B"/>
    <w:rsid w:val="000C1F84"/>
    <w:rsid w:val="000C2BD8"/>
    <w:rsid w:val="000C33CB"/>
    <w:rsid w:val="000C3597"/>
    <w:rsid w:val="000C361C"/>
    <w:rsid w:val="000C368C"/>
    <w:rsid w:val="000C36F6"/>
    <w:rsid w:val="000C456F"/>
    <w:rsid w:val="000C4A07"/>
    <w:rsid w:val="000C4A31"/>
    <w:rsid w:val="000C5FF5"/>
    <w:rsid w:val="000C659E"/>
    <w:rsid w:val="000C7092"/>
    <w:rsid w:val="000C74BF"/>
    <w:rsid w:val="000D04CF"/>
    <w:rsid w:val="000D09A2"/>
    <w:rsid w:val="000D0E37"/>
    <w:rsid w:val="000D1215"/>
    <w:rsid w:val="000D2058"/>
    <w:rsid w:val="000D20B7"/>
    <w:rsid w:val="000D314E"/>
    <w:rsid w:val="000D3547"/>
    <w:rsid w:val="000D3980"/>
    <w:rsid w:val="000D41B0"/>
    <w:rsid w:val="000D5449"/>
    <w:rsid w:val="000D58AC"/>
    <w:rsid w:val="000D593A"/>
    <w:rsid w:val="000D5A3F"/>
    <w:rsid w:val="000D6216"/>
    <w:rsid w:val="000D6457"/>
    <w:rsid w:val="000D6AF5"/>
    <w:rsid w:val="000D6CDE"/>
    <w:rsid w:val="000D797C"/>
    <w:rsid w:val="000D7ACF"/>
    <w:rsid w:val="000E052F"/>
    <w:rsid w:val="000E062B"/>
    <w:rsid w:val="000E0790"/>
    <w:rsid w:val="000E0911"/>
    <w:rsid w:val="000E249B"/>
    <w:rsid w:val="000E2B74"/>
    <w:rsid w:val="000E3013"/>
    <w:rsid w:val="000E388A"/>
    <w:rsid w:val="000E43D2"/>
    <w:rsid w:val="000E49B6"/>
    <w:rsid w:val="000E4D9D"/>
    <w:rsid w:val="000E4FC2"/>
    <w:rsid w:val="000E5ADF"/>
    <w:rsid w:val="000E6394"/>
    <w:rsid w:val="000E6402"/>
    <w:rsid w:val="000E7A62"/>
    <w:rsid w:val="000F070D"/>
    <w:rsid w:val="000F1E0A"/>
    <w:rsid w:val="000F1E6F"/>
    <w:rsid w:val="000F2599"/>
    <w:rsid w:val="000F2823"/>
    <w:rsid w:val="000F2854"/>
    <w:rsid w:val="000F2DE4"/>
    <w:rsid w:val="000F340B"/>
    <w:rsid w:val="000F38B0"/>
    <w:rsid w:val="000F3DD6"/>
    <w:rsid w:val="000F3EAB"/>
    <w:rsid w:val="000F5827"/>
    <w:rsid w:val="000F612B"/>
    <w:rsid w:val="000F66C3"/>
    <w:rsid w:val="000F6ACA"/>
    <w:rsid w:val="000F728F"/>
    <w:rsid w:val="000F73EA"/>
    <w:rsid w:val="000F75D8"/>
    <w:rsid w:val="000F76F2"/>
    <w:rsid w:val="000F7C49"/>
    <w:rsid w:val="000F7CD1"/>
    <w:rsid w:val="000F7EF7"/>
    <w:rsid w:val="001008F6"/>
    <w:rsid w:val="00101EC1"/>
    <w:rsid w:val="00101F09"/>
    <w:rsid w:val="001027D0"/>
    <w:rsid w:val="00103118"/>
    <w:rsid w:val="00103920"/>
    <w:rsid w:val="001044DC"/>
    <w:rsid w:val="0010528B"/>
    <w:rsid w:val="0010533D"/>
    <w:rsid w:val="001056A0"/>
    <w:rsid w:val="00110E84"/>
    <w:rsid w:val="00111E5A"/>
    <w:rsid w:val="001128DE"/>
    <w:rsid w:val="00112A62"/>
    <w:rsid w:val="0011333A"/>
    <w:rsid w:val="00114B3A"/>
    <w:rsid w:val="00114DBF"/>
    <w:rsid w:val="00115112"/>
    <w:rsid w:val="00115A1B"/>
    <w:rsid w:val="00115B94"/>
    <w:rsid w:val="00116256"/>
    <w:rsid w:val="001165CD"/>
    <w:rsid w:val="00116FA8"/>
    <w:rsid w:val="00120F87"/>
    <w:rsid w:val="0012117C"/>
    <w:rsid w:val="00121456"/>
    <w:rsid w:val="00121F9F"/>
    <w:rsid w:val="0012223C"/>
    <w:rsid w:val="0012239E"/>
    <w:rsid w:val="0012276B"/>
    <w:rsid w:val="00122875"/>
    <w:rsid w:val="0012309D"/>
    <w:rsid w:val="001237ED"/>
    <w:rsid w:val="00124014"/>
    <w:rsid w:val="00125015"/>
    <w:rsid w:val="00125385"/>
    <w:rsid w:val="00126780"/>
    <w:rsid w:val="00126A59"/>
    <w:rsid w:val="0013005E"/>
    <w:rsid w:val="00130292"/>
    <w:rsid w:val="001302A7"/>
    <w:rsid w:val="00130335"/>
    <w:rsid w:val="00130509"/>
    <w:rsid w:val="00130F98"/>
    <w:rsid w:val="001310D3"/>
    <w:rsid w:val="00131ACB"/>
    <w:rsid w:val="00131BF1"/>
    <w:rsid w:val="00131C5B"/>
    <w:rsid w:val="001322CD"/>
    <w:rsid w:val="001351DA"/>
    <w:rsid w:val="00135471"/>
    <w:rsid w:val="0013592F"/>
    <w:rsid w:val="001364B2"/>
    <w:rsid w:val="001371B2"/>
    <w:rsid w:val="00137F64"/>
    <w:rsid w:val="00141699"/>
    <w:rsid w:val="00141AE3"/>
    <w:rsid w:val="001422EC"/>
    <w:rsid w:val="00142786"/>
    <w:rsid w:val="00142EBC"/>
    <w:rsid w:val="00142F51"/>
    <w:rsid w:val="00143094"/>
    <w:rsid w:val="00143631"/>
    <w:rsid w:val="00143BA1"/>
    <w:rsid w:val="00144B45"/>
    <w:rsid w:val="0014504D"/>
    <w:rsid w:val="00145F08"/>
    <w:rsid w:val="001466D1"/>
    <w:rsid w:val="001477BB"/>
    <w:rsid w:val="00147E56"/>
    <w:rsid w:val="001504D6"/>
    <w:rsid w:val="00150E2C"/>
    <w:rsid w:val="00151932"/>
    <w:rsid w:val="00153783"/>
    <w:rsid w:val="00153A2D"/>
    <w:rsid w:val="00153FD7"/>
    <w:rsid w:val="001540EB"/>
    <w:rsid w:val="00154757"/>
    <w:rsid w:val="00155189"/>
    <w:rsid w:val="00155F98"/>
    <w:rsid w:val="00156A4A"/>
    <w:rsid w:val="00157878"/>
    <w:rsid w:val="001605A6"/>
    <w:rsid w:val="0016114B"/>
    <w:rsid w:val="00162BAB"/>
    <w:rsid w:val="00163084"/>
    <w:rsid w:val="001632A3"/>
    <w:rsid w:val="00163494"/>
    <w:rsid w:val="00163983"/>
    <w:rsid w:val="00163CF5"/>
    <w:rsid w:val="001640B2"/>
    <w:rsid w:val="0016533D"/>
    <w:rsid w:val="001657F5"/>
    <w:rsid w:val="001658D1"/>
    <w:rsid w:val="00166297"/>
    <w:rsid w:val="00167400"/>
    <w:rsid w:val="00167B7C"/>
    <w:rsid w:val="00170645"/>
    <w:rsid w:val="00171A94"/>
    <w:rsid w:val="001729EC"/>
    <w:rsid w:val="00174DC2"/>
    <w:rsid w:val="00174DE9"/>
    <w:rsid w:val="00175631"/>
    <w:rsid w:val="0017699E"/>
    <w:rsid w:val="001769E6"/>
    <w:rsid w:val="0017745A"/>
    <w:rsid w:val="00177562"/>
    <w:rsid w:val="00180818"/>
    <w:rsid w:val="00180C48"/>
    <w:rsid w:val="00180CC1"/>
    <w:rsid w:val="00180D1D"/>
    <w:rsid w:val="001811EB"/>
    <w:rsid w:val="001837F2"/>
    <w:rsid w:val="0018481A"/>
    <w:rsid w:val="001855FC"/>
    <w:rsid w:val="001858E1"/>
    <w:rsid w:val="00185FF8"/>
    <w:rsid w:val="001860E4"/>
    <w:rsid w:val="00187667"/>
    <w:rsid w:val="00190521"/>
    <w:rsid w:val="00190E91"/>
    <w:rsid w:val="00191A93"/>
    <w:rsid w:val="00191FE8"/>
    <w:rsid w:val="00192021"/>
    <w:rsid w:val="001924B6"/>
    <w:rsid w:val="001925B8"/>
    <w:rsid w:val="00192FE2"/>
    <w:rsid w:val="0019326C"/>
    <w:rsid w:val="0019341B"/>
    <w:rsid w:val="00194656"/>
    <w:rsid w:val="001948BE"/>
    <w:rsid w:val="00194BD8"/>
    <w:rsid w:val="00195FEF"/>
    <w:rsid w:val="00196D1B"/>
    <w:rsid w:val="0019706E"/>
    <w:rsid w:val="00197933"/>
    <w:rsid w:val="00197B33"/>
    <w:rsid w:val="001A12C3"/>
    <w:rsid w:val="001A172C"/>
    <w:rsid w:val="001A1E21"/>
    <w:rsid w:val="001A2705"/>
    <w:rsid w:val="001A297C"/>
    <w:rsid w:val="001A2E19"/>
    <w:rsid w:val="001A30C5"/>
    <w:rsid w:val="001A315A"/>
    <w:rsid w:val="001A330E"/>
    <w:rsid w:val="001A3D9A"/>
    <w:rsid w:val="001A41CC"/>
    <w:rsid w:val="001A4C50"/>
    <w:rsid w:val="001A521F"/>
    <w:rsid w:val="001A610D"/>
    <w:rsid w:val="001A66D3"/>
    <w:rsid w:val="001A6967"/>
    <w:rsid w:val="001A7547"/>
    <w:rsid w:val="001B1981"/>
    <w:rsid w:val="001B1A62"/>
    <w:rsid w:val="001B1F71"/>
    <w:rsid w:val="001B25FF"/>
    <w:rsid w:val="001B2674"/>
    <w:rsid w:val="001B3160"/>
    <w:rsid w:val="001B3778"/>
    <w:rsid w:val="001B3B64"/>
    <w:rsid w:val="001B3C17"/>
    <w:rsid w:val="001B4B75"/>
    <w:rsid w:val="001B60A0"/>
    <w:rsid w:val="001B6128"/>
    <w:rsid w:val="001B6371"/>
    <w:rsid w:val="001B6392"/>
    <w:rsid w:val="001B66CC"/>
    <w:rsid w:val="001B673E"/>
    <w:rsid w:val="001B6FC1"/>
    <w:rsid w:val="001B72B8"/>
    <w:rsid w:val="001B75EF"/>
    <w:rsid w:val="001B78C1"/>
    <w:rsid w:val="001B7B66"/>
    <w:rsid w:val="001C041E"/>
    <w:rsid w:val="001C0C29"/>
    <w:rsid w:val="001C0F83"/>
    <w:rsid w:val="001C10B5"/>
    <w:rsid w:val="001C17CC"/>
    <w:rsid w:val="001C1E1E"/>
    <w:rsid w:val="001C1F20"/>
    <w:rsid w:val="001C2EC1"/>
    <w:rsid w:val="001C320C"/>
    <w:rsid w:val="001C352E"/>
    <w:rsid w:val="001C50C6"/>
    <w:rsid w:val="001C568E"/>
    <w:rsid w:val="001C5BAB"/>
    <w:rsid w:val="001C5DE8"/>
    <w:rsid w:val="001C6A09"/>
    <w:rsid w:val="001C6ACD"/>
    <w:rsid w:val="001C6CCA"/>
    <w:rsid w:val="001C6FA1"/>
    <w:rsid w:val="001C7693"/>
    <w:rsid w:val="001C7A65"/>
    <w:rsid w:val="001D07D4"/>
    <w:rsid w:val="001D083D"/>
    <w:rsid w:val="001D0C16"/>
    <w:rsid w:val="001D151A"/>
    <w:rsid w:val="001D1B6E"/>
    <w:rsid w:val="001D2346"/>
    <w:rsid w:val="001D32AB"/>
    <w:rsid w:val="001D4334"/>
    <w:rsid w:val="001D487E"/>
    <w:rsid w:val="001D4C56"/>
    <w:rsid w:val="001D5033"/>
    <w:rsid w:val="001D5188"/>
    <w:rsid w:val="001D663C"/>
    <w:rsid w:val="001D6E8F"/>
    <w:rsid w:val="001D72CB"/>
    <w:rsid w:val="001E0263"/>
    <w:rsid w:val="001E0651"/>
    <w:rsid w:val="001E17D8"/>
    <w:rsid w:val="001E1E1D"/>
    <w:rsid w:val="001E2004"/>
    <w:rsid w:val="001E294A"/>
    <w:rsid w:val="001E2964"/>
    <w:rsid w:val="001E2DD7"/>
    <w:rsid w:val="001E2DF7"/>
    <w:rsid w:val="001E34BC"/>
    <w:rsid w:val="001E3BCB"/>
    <w:rsid w:val="001E49E8"/>
    <w:rsid w:val="001E4ADE"/>
    <w:rsid w:val="001E5574"/>
    <w:rsid w:val="001E5CA0"/>
    <w:rsid w:val="001E5F7E"/>
    <w:rsid w:val="001E6220"/>
    <w:rsid w:val="001E7F94"/>
    <w:rsid w:val="001F0DAE"/>
    <w:rsid w:val="001F1606"/>
    <w:rsid w:val="001F1B2E"/>
    <w:rsid w:val="001F1C64"/>
    <w:rsid w:val="001F3EC1"/>
    <w:rsid w:val="001F48FF"/>
    <w:rsid w:val="001F4F94"/>
    <w:rsid w:val="001F5AFC"/>
    <w:rsid w:val="001F5F03"/>
    <w:rsid w:val="001F62A2"/>
    <w:rsid w:val="001F7205"/>
    <w:rsid w:val="001F7765"/>
    <w:rsid w:val="001F780D"/>
    <w:rsid w:val="00200545"/>
    <w:rsid w:val="00200D4A"/>
    <w:rsid w:val="00201928"/>
    <w:rsid w:val="0020266D"/>
    <w:rsid w:val="00202AC7"/>
    <w:rsid w:val="00202BDC"/>
    <w:rsid w:val="00202BDE"/>
    <w:rsid w:val="00202D51"/>
    <w:rsid w:val="002030F8"/>
    <w:rsid w:val="00203AE9"/>
    <w:rsid w:val="0020408F"/>
    <w:rsid w:val="00204925"/>
    <w:rsid w:val="00204CD1"/>
    <w:rsid w:val="00204FA8"/>
    <w:rsid w:val="0020521B"/>
    <w:rsid w:val="0020598D"/>
    <w:rsid w:val="00205B44"/>
    <w:rsid w:val="002060F4"/>
    <w:rsid w:val="002062D7"/>
    <w:rsid w:val="0020676F"/>
    <w:rsid w:val="00206B51"/>
    <w:rsid w:val="00207359"/>
    <w:rsid w:val="0020787E"/>
    <w:rsid w:val="0021090E"/>
    <w:rsid w:val="00211215"/>
    <w:rsid w:val="00211BCF"/>
    <w:rsid w:val="00212D97"/>
    <w:rsid w:val="00213497"/>
    <w:rsid w:val="00214A5B"/>
    <w:rsid w:val="00214E4A"/>
    <w:rsid w:val="002153E1"/>
    <w:rsid w:val="00215467"/>
    <w:rsid w:val="0021579C"/>
    <w:rsid w:val="002159D3"/>
    <w:rsid w:val="002178A7"/>
    <w:rsid w:val="002208E8"/>
    <w:rsid w:val="00220DA2"/>
    <w:rsid w:val="002223B9"/>
    <w:rsid w:val="00223542"/>
    <w:rsid w:val="00223A25"/>
    <w:rsid w:val="00224A73"/>
    <w:rsid w:val="00224C6F"/>
    <w:rsid w:val="00225533"/>
    <w:rsid w:val="0022615D"/>
    <w:rsid w:val="00226428"/>
    <w:rsid w:val="00226E3F"/>
    <w:rsid w:val="0022752C"/>
    <w:rsid w:val="00230C39"/>
    <w:rsid w:val="00232D59"/>
    <w:rsid w:val="00233DA5"/>
    <w:rsid w:val="00233E38"/>
    <w:rsid w:val="00233F87"/>
    <w:rsid w:val="00234DE3"/>
    <w:rsid w:val="00235991"/>
    <w:rsid w:val="00235EB8"/>
    <w:rsid w:val="0023621E"/>
    <w:rsid w:val="002371BA"/>
    <w:rsid w:val="00237C64"/>
    <w:rsid w:val="0024022C"/>
    <w:rsid w:val="00241546"/>
    <w:rsid w:val="002418CD"/>
    <w:rsid w:val="00241BE5"/>
    <w:rsid w:val="00242216"/>
    <w:rsid w:val="00242623"/>
    <w:rsid w:val="00242F85"/>
    <w:rsid w:val="00242FA0"/>
    <w:rsid w:val="00243BB0"/>
    <w:rsid w:val="00243D01"/>
    <w:rsid w:val="00245061"/>
    <w:rsid w:val="002458A1"/>
    <w:rsid w:val="00245EA2"/>
    <w:rsid w:val="0024658E"/>
    <w:rsid w:val="0024710A"/>
    <w:rsid w:val="00247283"/>
    <w:rsid w:val="002512CD"/>
    <w:rsid w:val="002516FD"/>
    <w:rsid w:val="00252413"/>
    <w:rsid w:val="00252609"/>
    <w:rsid w:val="00252CB3"/>
    <w:rsid w:val="00253243"/>
    <w:rsid w:val="00253823"/>
    <w:rsid w:val="00253ABB"/>
    <w:rsid w:val="002540F5"/>
    <w:rsid w:val="002549EB"/>
    <w:rsid w:val="0025507D"/>
    <w:rsid w:val="002553AA"/>
    <w:rsid w:val="00255816"/>
    <w:rsid w:val="00256B15"/>
    <w:rsid w:val="00256C00"/>
    <w:rsid w:val="002571B0"/>
    <w:rsid w:val="00257285"/>
    <w:rsid w:val="00257D7B"/>
    <w:rsid w:val="00260F66"/>
    <w:rsid w:val="00261306"/>
    <w:rsid w:val="00261C06"/>
    <w:rsid w:val="00262073"/>
    <w:rsid w:val="00266472"/>
    <w:rsid w:val="002668FF"/>
    <w:rsid w:val="00267B87"/>
    <w:rsid w:val="002712B8"/>
    <w:rsid w:val="002714A7"/>
    <w:rsid w:val="00271819"/>
    <w:rsid w:val="00271FFA"/>
    <w:rsid w:val="0027221B"/>
    <w:rsid w:val="00272355"/>
    <w:rsid w:val="00272C0C"/>
    <w:rsid w:val="00272ECF"/>
    <w:rsid w:val="0027321B"/>
    <w:rsid w:val="002746F5"/>
    <w:rsid w:val="00275050"/>
    <w:rsid w:val="00275104"/>
    <w:rsid w:val="00275C96"/>
    <w:rsid w:val="00276655"/>
    <w:rsid w:val="00277438"/>
    <w:rsid w:val="00280057"/>
    <w:rsid w:val="00280074"/>
    <w:rsid w:val="002806A7"/>
    <w:rsid w:val="00280CB3"/>
    <w:rsid w:val="00280D56"/>
    <w:rsid w:val="00282883"/>
    <w:rsid w:val="00282963"/>
    <w:rsid w:val="00283350"/>
    <w:rsid w:val="002838AF"/>
    <w:rsid w:val="00284792"/>
    <w:rsid w:val="002848E5"/>
    <w:rsid w:val="00285D93"/>
    <w:rsid w:val="002865D3"/>
    <w:rsid w:val="002866ED"/>
    <w:rsid w:val="00286F0B"/>
    <w:rsid w:val="00286F67"/>
    <w:rsid w:val="002875DD"/>
    <w:rsid w:val="00287637"/>
    <w:rsid w:val="00287699"/>
    <w:rsid w:val="00287725"/>
    <w:rsid w:val="0028787D"/>
    <w:rsid w:val="002878C1"/>
    <w:rsid w:val="00290435"/>
    <w:rsid w:val="00290627"/>
    <w:rsid w:val="00290A56"/>
    <w:rsid w:val="00290E72"/>
    <w:rsid w:val="00291225"/>
    <w:rsid w:val="00292493"/>
    <w:rsid w:val="00292C49"/>
    <w:rsid w:val="00292F07"/>
    <w:rsid w:val="002934A6"/>
    <w:rsid w:val="00293511"/>
    <w:rsid w:val="0029398A"/>
    <w:rsid w:val="0029433D"/>
    <w:rsid w:val="00294C19"/>
    <w:rsid w:val="00295A9A"/>
    <w:rsid w:val="00295D18"/>
    <w:rsid w:val="002963F2"/>
    <w:rsid w:val="002970BB"/>
    <w:rsid w:val="002970C9"/>
    <w:rsid w:val="00297613"/>
    <w:rsid w:val="00297CB7"/>
    <w:rsid w:val="002A05F2"/>
    <w:rsid w:val="002A06AA"/>
    <w:rsid w:val="002A09CF"/>
    <w:rsid w:val="002A0ADE"/>
    <w:rsid w:val="002A0CDA"/>
    <w:rsid w:val="002A0DEF"/>
    <w:rsid w:val="002A0E73"/>
    <w:rsid w:val="002A1056"/>
    <w:rsid w:val="002A298B"/>
    <w:rsid w:val="002A2D0F"/>
    <w:rsid w:val="002A2F6A"/>
    <w:rsid w:val="002A31B8"/>
    <w:rsid w:val="002A3249"/>
    <w:rsid w:val="002A37DF"/>
    <w:rsid w:val="002A398B"/>
    <w:rsid w:val="002A3BC2"/>
    <w:rsid w:val="002A3BC4"/>
    <w:rsid w:val="002A5102"/>
    <w:rsid w:val="002A550A"/>
    <w:rsid w:val="002A56A6"/>
    <w:rsid w:val="002A60F4"/>
    <w:rsid w:val="002A62DF"/>
    <w:rsid w:val="002A6ED3"/>
    <w:rsid w:val="002A70B0"/>
    <w:rsid w:val="002A7120"/>
    <w:rsid w:val="002A7324"/>
    <w:rsid w:val="002B045C"/>
    <w:rsid w:val="002B1C4E"/>
    <w:rsid w:val="002B39A7"/>
    <w:rsid w:val="002B5144"/>
    <w:rsid w:val="002B58FB"/>
    <w:rsid w:val="002B5F3E"/>
    <w:rsid w:val="002B7048"/>
    <w:rsid w:val="002B7276"/>
    <w:rsid w:val="002B7515"/>
    <w:rsid w:val="002B77D5"/>
    <w:rsid w:val="002B7E18"/>
    <w:rsid w:val="002C09BE"/>
    <w:rsid w:val="002C0EE5"/>
    <w:rsid w:val="002C10BF"/>
    <w:rsid w:val="002C1C14"/>
    <w:rsid w:val="002C1FE3"/>
    <w:rsid w:val="002C2065"/>
    <w:rsid w:val="002C23DF"/>
    <w:rsid w:val="002C2A13"/>
    <w:rsid w:val="002C4BC0"/>
    <w:rsid w:val="002C5E05"/>
    <w:rsid w:val="002C6090"/>
    <w:rsid w:val="002C626B"/>
    <w:rsid w:val="002C6597"/>
    <w:rsid w:val="002C72FF"/>
    <w:rsid w:val="002C7416"/>
    <w:rsid w:val="002C7DE0"/>
    <w:rsid w:val="002C7EE9"/>
    <w:rsid w:val="002D00C2"/>
    <w:rsid w:val="002D1D20"/>
    <w:rsid w:val="002D291D"/>
    <w:rsid w:val="002D2F4D"/>
    <w:rsid w:val="002D39B9"/>
    <w:rsid w:val="002D43BA"/>
    <w:rsid w:val="002D4B82"/>
    <w:rsid w:val="002D4DC3"/>
    <w:rsid w:val="002D601E"/>
    <w:rsid w:val="002D6501"/>
    <w:rsid w:val="002D66C2"/>
    <w:rsid w:val="002D6B5D"/>
    <w:rsid w:val="002D6B72"/>
    <w:rsid w:val="002D71C8"/>
    <w:rsid w:val="002E0413"/>
    <w:rsid w:val="002E04F7"/>
    <w:rsid w:val="002E2CE8"/>
    <w:rsid w:val="002E34DC"/>
    <w:rsid w:val="002E34E8"/>
    <w:rsid w:val="002E37B6"/>
    <w:rsid w:val="002E3D47"/>
    <w:rsid w:val="002E43DB"/>
    <w:rsid w:val="002E44CD"/>
    <w:rsid w:val="002E4508"/>
    <w:rsid w:val="002E46DF"/>
    <w:rsid w:val="002E4E62"/>
    <w:rsid w:val="002E64F4"/>
    <w:rsid w:val="002E6B1B"/>
    <w:rsid w:val="002E6C4D"/>
    <w:rsid w:val="002F2DBB"/>
    <w:rsid w:val="002F3735"/>
    <w:rsid w:val="002F3D1B"/>
    <w:rsid w:val="002F5870"/>
    <w:rsid w:val="002F6EB0"/>
    <w:rsid w:val="002F7BF5"/>
    <w:rsid w:val="0030042E"/>
    <w:rsid w:val="00300B19"/>
    <w:rsid w:val="003010C8"/>
    <w:rsid w:val="00302AEB"/>
    <w:rsid w:val="00303247"/>
    <w:rsid w:val="0030353A"/>
    <w:rsid w:val="00304304"/>
    <w:rsid w:val="003045D1"/>
    <w:rsid w:val="003055B1"/>
    <w:rsid w:val="00305B8A"/>
    <w:rsid w:val="0030636D"/>
    <w:rsid w:val="0030663C"/>
    <w:rsid w:val="00307644"/>
    <w:rsid w:val="00307A5F"/>
    <w:rsid w:val="0031036D"/>
    <w:rsid w:val="00310B1B"/>
    <w:rsid w:val="003114FC"/>
    <w:rsid w:val="00311E58"/>
    <w:rsid w:val="00312309"/>
    <w:rsid w:val="00313CFA"/>
    <w:rsid w:val="00314774"/>
    <w:rsid w:val="00314776"/>
    <w:rsid w:val="003148A5"/>
    <w:rsid w:val="00314B7F"/>
    <w:rsid w:val="00315564"/>
    <w:rsid w:val="00315960"/>
    <w:rsid w:val="00315C42"/>
    <w:rsid w:val="00315E9C"/>
    <w:rsid w:val="00316897"/>
    <w:rsid w:val="003169BA"/>
    <w:rsid w:val="003177A8"/>
    <w:rsid w:val="003201E7"/>
    <w:rsid w:val="00320923"/>
    <w:rsid w:val="00320A2D"/>
    <w:rsid w:val="00320C1C"/>
    <w:rsid w:val="003216FD"/>
    <w:rsid w:val="00321DA1"/>
    <w:rsid w:val="00321F41"/>
    <w:rsid w:val="00322417"/>
    <w:rsid w:val="0032243C"/>
    <w:rsid w:val="00322939"/>
    <w:rsid w:val="00323159"/>
    <w:rsid w:val="00323844"/>
    <w:rsid w:val="00324138"/>
    <w:rsid w:val="0032467D"/>
    <w:rsid w:val="003248B1"/>
    <w:rsid w:val="00324982"/>
    <w:rsid w:val="0032581C"/>
    <w:rsid w:val="0032592A"/>
    <w:rsid w:val="00325F1D"/>
    <w:rsid w:val="00325F9C"/>
    <w:rsid w:val="0032662B"/>
    <w:rsid w:val="00326E9F"/>
    <w:rsid w:val="003276FC"/>
    <w:rsid w:val="00327963"/>
    <w:rsid w:val="00327DF8"/>
    <w:rsid w:val="003308A4"/>
    <w:rsid w:val="00330A9A"/>
    <w:rsid w:val="00330D6C"/>
    <w:rsid w:val="00330DA9"/>
    <w:rsid w:val="003316E3"/>
    <w:rsid w:val="003335F7"/>
    <w:rsid w:val="0033362A"/>
    <w:rsid w:val="00334886"/>
    <w:rsid w:val="003356AF"/>
    <w:rsid w:val="00335DC4"/>
    <w:rsid w:val="00335FD4"/>
    <w:rsid w:val="0033618A"/>
    <w:rsid w:val="003364A5"/>
    <w:rsid w:val="003370E5"/>
    <w:rsid w:val="00337853"/>
    <w:rsid w:val="00340011"/>
    <w:rsid w:val="00340A83"/>
    <w:rsid w:val="00340C94"/>
    <w:rsid w:val="003419E8"/>
    <w:rsid w:val="00342175"/>
    <w:rsid w:val="00342331"/>
    <w:rsid w:val="003430EA"/>
    <w:rsid w:val="0034358F"/>
    <w:rsid w:val="00343752"/>
    <w:rsid w:val="003445FD"/>
    <w:rsid w:val="00344877"/>
    <w:rsid w:val="00345617"/>
    <w:rsid w:val="0034590D"/>
    <w:rsid w:val="00345AE6"/>
    <w:rsid w:val="003467DC"/>
    <w:rsid w:val="00347968"/>
    <w:rsid w:val="00347B50"/>
    <w:rsid w:val="003500B2"/>
    <w:rsid w:val="003502AF"/>
    <w:rsid w:val="003510E4"/>
    <w:rsid w:val="003512CD"/>
    <w:rsid w:val="0035189D"/>
    <w:rsid w:val="00351B80"/>
    <w:rsid w:val="0035202A"/>
    <w:rsid w:val="003526B7"/>
    <w:rsid w:val="003530F4"/>
    <w:rsid w:val="003542BF"/>
    <w:rsid w:val="00354451"/>
    <w:rsid w:val="003549CF"/>
    <w:rsid w:val="00354ADD"/>
    <w:rsid w:val="0035577E"/>
    <w:rsid w:val="00355DE4"/>
    <w:rsid w:val="00355EBD"/>
    <w:rsid w:val="00355FA3"/>
    <w:rsid w:val="00356A7F"/>
    <w:rsid w:val="00356AD7"/>
    <w:rsid w:val="00356CA8"/>
    <w:rsid w:val="003570B7"/>
    <w:rsid w:val="00360495"/>
    <w:rsid w:val="00360C18"/>
    <w:rsid w:val="00360F79"/>
    <w:rsid w:val="00361D37"/>
    <w:rsid w:val="00361DD7"/>
    <w:rsid w:val="00362107"/>
    <w:rsid w:val="003625DD"/>
    <w:rsid w:val="00363E33"/>
    <w:rsid w:val="0036447A"/>
    <w:rsid w:val="00365C08"/>
    <w:rsid w:val="00367DCF"/>
    <w:rsid w:val="00370214"/>
    <w:rsid w:val="0037140B"/>
    <w:rsid w:val="00372177"/>
    <w:rsid w:val="003730E1"/>
    <w:rsid w:val="0037374B"/>
    <w:rsid w:val="003741B4"/>
    <w:rsid w:val="003745CF"/>
    <w:rsid w:val="003745FF"/>
    <w:rsid w:val="00374A69"/>
    <w:rsid w:val="00375AAC"/>
    <w:rsid w:val="003769E8"/>
    <w:rsid w:val="00376E5E"/>
    <w:rsid w:val="00377238"/>
    <w:rsid w:val="0038129C"/>
    <w:rsid w:val="0038145A"/>
    <w:rsid w:val="00381E91"/>
    <w:rsid w:val="00382109"/>
    <w:rsid w:val="003822E3"/>
    <w:rsid w:val="003827B3"/>
    <w:rsid w:val="003829E0"/>
    <w:rsid w:val="00382CC3"/>
    <w:rsid w:val="00382F1E"/>
    <w:rsid w:val="00383E27"/>
    <w:rsid w:val="003847DC"/>
    <w:rsid w:val="00385103"/>
    <w:rsid w:val="003856D8"/>
    <w:rsid w:val="00385B03"/>
    <w:rsid w:val="00386E27"/>
    <w:rsid w:val="00387080"/>
    <w:rsid w:val="0039046F"/>
    <w:rsid w:val="00390B98"/>
    <w:rsid w:val="00391390"/>
    <w:rsid w:val="0039165E"/>
    <w:rsid w:val="00391ACD"/>
    <w:rsid w:val="0039205A"/>
    <w:rsid w:val="00392E70"/>
    <w:rsid w:val="003941CF"/>
    <w:rsid w:val="00394694"/>
    <w:rsid w:val="00394A9F"/>
    <w:rsid w:val="00394F49"/>
    <w:rsid w:val="00394F7B"/>
    <w:rsid w:val="0039617A"/>
    <w:rsid w:val="00396C4D"/>
    <w:rsid w:val="00397F82"/>
    <w:rsid w:val="003A0660"/>
    <w:rsid w:val="003A0796"/>
    <w:rsid w:val="003A0F7D"/>
    <w:rsid w:val="003A1EFE"/>
    <w:rsid w:val="003A2118"/>
    <w:rsid w:val="003A23C1"/>
    <w:rsid w:val="003A2E32"/>
    <w:rsid w:val="003A4557"/>
    <w:rsid w:val="003A487D"/>
    <w:rsid w:val="003A5253"/>
    <w:rsid w:val="003A5899"/>
    <w:rsid w:val="003A5F90"/>
    <w:rsid w:val="003A60A4"/>
    <w:rsid w:val="003A61F7"/>
    <w:rsid w:val="003A67BC"/>
    <w:rsid w:val="003A6BA0"/>
    <w:rsid w:val="003A75BB"/>
    <w:rsid w:val="003B03FA"/>
    <w:rsid w:val="003B0843"/>
    <w:rsid w:val="003B1851"/>
    <w:rsid w:val="003B259E"/>
    <w:rsid w:val="003B37C6"/>
    <w:rsid w:val="003B461A"/>
    <w:rsid w:val="003B549E"/>
    <w:rsid w:val="003B5679"/>
    <w:rsid w:val="003B6301"/>
    <w:rsid w:val="003B71CB"/>
    <w:rsid w:val="003B76C5"/>
    <w:rsid w:val="003B7F07"/>
    <w:rsid w:val="003C040C"/>
    <w:rsid w:val="003C07CB"/>
    <w:rsid w:val="003C0FB5"/>
    <w:rsid w:val="003C0FBD"/>
    <w:rsid w:val="003C10E0"/>
    <w:rsid w:val="003C257F"/>
    <w:rsid w:val="003C2CE2"/>
    <w:rsid w:val="003C3B9F"/>
    <w:rsid w:val="003C3DB6"/>
    <w:rsid w:val="003C4516"/>
    <w:rsid w:val="003C4D29"/>
    <w:rsid w:val="003C6990"/>
    <w:rsid w:val="003C6D0D"/>
    <w:rsid w:val="003C76FC"/>
    <w:rsid w:val="003D0E74"/>
    <w:rsid w:val="003D0FE5"/>
    <w:rsid w:val="003D1315"/>
    <w:rsid w:val="003D31DC"/>
    <w:rsid w:val="003D32E5"/>
    <w:rsid w:val="003D400A"/>
    <w:rsid w:val="003D47C5"/>
    <w:rsid w:val="003D4B4E"/>
    <w:rsid w:val="003D5468"/>
    <w:rsid w:val="003D54EF"/>
    <w:rsid w:val="003D5F0D"/>
    <w:rsid w:val="003D5FDC"/>
    <w:rsid w:val="003D6933"/>
    <w:rsid w:val="003D6C1B"/>
    <w:rsid w:val="003D6C8C"/>
    <w:rsid w:val="003E0031"/>
    <w:rsid w:val="003E0A72"/>
    <w:rsid w:val="003E1C0F"/>
    <w:rsid w:val="003E2077"/>
    <w:rsid w:val="003E23F1"/>
    <w:rsid w:val="003E28E1"/>
    <w:rsid w:val="003E4474"/>
    <w:rsid w:val="003E5389"/>
    <w:rsid w:val="003E53FF"/>
    <w:rsid w:val="003E5A17"/>
    <w:rsid w:val="003E5C3C"/>
    <w:rsid w:val="003E613F"/>
    <w:rsid w:val="003E61B9"/>
    <w:rsid w:val="003E6C58"/>
    <w:rsid w:val="003E74C4"/>
    <w:rsid w:val="003E77F4"/>
    <w:rsid w:val="003E7A79"/>
    <w:rsid w:val="003E7EA7"/>
    <w:rsid w:val="003F09D0"/>
    <w:rsid w:val="003F0FE4"/>
    <w:rsid w:val="003F1AA6"/>
    <w:rsid w:val="003F2CBC"/>
    <w:rsid w:val="003F3320"/>
    <w:rsid w:val="003F3E75"/>
    <w:rsid w:val="003F3ECF"/>
    <w:rsid w:val="003F4205"/>
    <w:rsid w:val="003F4CCC"/>
    <w:rsid w:val="003F5249"/>
    <w:rsid w:val="003F543C"/>
    <w:rsid w:val="003F5739"/>
    <w:rsid w:val="003F6DBA"/>
    <w:rsid w:val="003F7C83"/>
    <w:rsid w:val="00400C12"/>
    <w:rsid w:val="00400D16"/>
    <w:rsid w:val="004026A1"/>
    <w:rsid w:val="00402DB8"/>
    <w:rsid w:val="00403242"/>
    <w:rsid w:val="004032EF"/>
    <w:rsid w:val="004040F9"/>
    <w:rsid w:val="0040496A"/>
    <w:rsid w:val="00404EAE"/>
    <w:rsid w:val="00405F0A"/>
    <w:rsid w:val="00406692"/>
    <w:rsid w:val="0040682B"/>
    <w:rsid w:val="004075D1"/>
    <w:rsid w:val="00407712"/>
    <w:rsid w:val="00407C0E"/>
    <w:rsid w:val="00410F43"/>
    <w:rsid w:val="00411269"/>
    <w:rsid w:val="00411913"/>
    <w:rsid w:val="00412A12"/>
    <w:rsid w:val="004130B5"/>
    <w:rsid w:val="00413A3D"/>
    <w:rsid w:val="0041408A"/>
    <w:rsid w:val="0041466D"/>
    <w:rsid w:val="00414C99"/>
    <w:rsid w:val="00415374"/>
    <w:rsid w:val="00416413"/>
    <w:rsid w:val="0041669F"/>
    <w:rsid w:val="00416A03"/>
    <w:rsid w:val="004174FC"/>
    <w:rsid w:val="004179D7"/>
    <w:rsid w:val="00417AA2"/>
    <w:rsid w:val="004206B5"/>
    <w:rsid w:val="00420760"/>
    <w:rsid w:val="00421EC1"/>
    <w:rsid w:val="0042266B"/>
    <w:rsid w:val="00422F22"/>
    <w:rsid w:val="00423968"/>
    <w:rsid w:val="00424CD8"/>
    <w:rsid w:val="004255B1"/>
    <w:rsid w:val="00425671"/>
    <w:rsid w:val="0042571D"/>
    <w:rsid w:val="004260D1"/>
    <w:rsid w:val="0042619A"/>
    <w:rsid w:val="004303D7"/>
    <w:rsid w:val="00430B38"/>
    <w:rsid w:val="0043177D"/>
    <w:rsid w:val="00431C3A"/>
    <w:rsid w:val="00431C3C"/>
    <w:rsid w:val="004321FD"/>
    <w:rsid w:val="00432456"/>
    <w:rsid w:val="004324A1"/>
    <w:rsid w:val="00433459"/>
    <w:rsid w:val="0043389D"/>
    <w:rsid w:val="004339AB"/>
    <w:rsid w:val="00434CFC"/>
    <w:rsid w:val="0043504E"/>
    <w:rsid w:val="004352EF"/>
    <w:rsid w:val="0043549C"/>
    <w:rsid w:val="00436842"/>
    <w:rsid w:val="00437315"/>
    <w:rsid w:val="004401A2"/>
    <w:rsid w:val="004405DF"/>
    <w:rsid w:val="004408BE"/>
    <w:rsid w:val="00441195"/>
    <w:rsid w:val="00441C4B"/>
    <w:rsid w:val="00442EFB"/>
    <w:rsid w:val="00443305"/>
    <w:rsid w:val="00444393"/>
    <w:rsid w:val="00444835"/>
    <w:rsid w:val="004453AE"/>
    <w:rsid w:val="00446F41"/>
    <w:rsid w:val="00447138"/>
    <w:rsid w:val="00450138"/>
    <w:rsid w:val="004502E3"/>
    <w:rsid w:val="00451DF7"/>
    <w:rsid w:val="004525B1"/>
    <w:rsid w:val="0045323B"/>
    <w:rsid w:val="00453468"/>
    <w:rsid w:val="00453D84"/>
    <w:rsid w:val="00454866"/>
    <w:rsid w:val="00454920"/>
    <w:rsid w:val="00454A7F"/>
    <w:rsid w:val="00455306"/>
    <w:rsid w:val="00455E40"/>
    <w:rsid w:val="004561BA"/>
    <w:rsid w:val="004563C6"/>
    <w:rsid w:val="004568B0"/>
    <w:rsid w:val="00457945"/>
    <w:rsid w:val="00460A73"/>
    <w:rsid w:val="00461217"/>
    <w:rsid w:val="00461578"/>
    <w:rsid w:val="0046225A"/>
    <w:rsid w:val="00462B6D"/>
    <w:rsid w:val="00463568"/>
    <w:rsid w:val="00464EBB"/>
    <w:rsid w:val="00464FB4"/>
    <w:rsid w:val="0046518E"/>
    <w:rsid w:val="00465AE1"/>
    <w:rsid w:val="004663B1"/>
    <w:rsid w:val="0047087D"/>
    <w:rsid w:val="00471B93"/>
    <w:rsid w:val="00471BA1"/>
    <w:rsid w:val="00471BE4"/>
    <w:rsid w:val="004727FA"/>
    <w:rsid w:val="00472A7E"/>
    <w:rsid w:val="00473078"/>
    <w:rsid w:val="0047316B"/>
    <w:rsid w:val="00473919"/>
    <w:rsid w:val="0047419A"/>
    <w:rsid w:val="004741A3"/>
    <w:rsid w:val="00474487"/>
    <w:rsid w:val="004751DB"/>
    <w:rsid w:val="00475565"/>
    <w:rsid w:val="004755DA"/>
    <w:rsid w:val="00475F3E"/>
    <w:rsid w:val="00476040"/>
    <w:rsid w:val="004766EF"/>
    <w:rsid w:val="004769D7"/>
    <w:rsid w:val="00476A90"/>
    <w:rsid w:val="00476AA3"/>
    <w:rsid w:val="00476E09"/>
    <w:rsid w:val="004773D7"/>
    <w:rsid w:val="0048032C"/>
    <w:rsid w:val="00481144"/>
    <w:rsid w:val="00482205"/>
    <w:rsid w:val="004822A4"/>
    <w:rsid w:val="00482AF3"/>
    <w:rsid w:val="004831F4"/>
    <w:rsid w:val="00483796"/>
    <w:rsid w:val="00483A88"/>
    <w:rsid w:val="00484B4A"/>
    <w:rsid w:val="00485862"/>
    <w:rsid w:val="0048591F"/>
    <w:rsid w:val="0048607C"/>
    <w:rsid w:val="00486437"/>
    <w:rsid w:val="00486880"/>
    <w:rsid w:val="00486CED"/>
    <w:rsid w:val="0048747E"/>
    <w:rsid w:val="004874B8"/>
    <w:rsid w:val="00487FCB"/>
    <w:rsid w:val="00490007"/>
    <w:rsid w:val="004908CD"/>
    <w:rsid w:val="00491274"/>
    <w:rsid w:val="004923BC"/>
    <w:rsid w:val="00492822"/>
    <w:rsid w:val="00493051"/>
    <w:rsid w:val="00493175"/>
    <w:rsid w:val="00493AE9"/>
    <w:rsid w:val="0049469D"/>
    <w:rsid w:val="004957DA"/>
    <w:rsid w:val="004959E9"/>
    <w:rsid w:val="00496BB5"/>
    <w:rsid w:val="004971D4"/>
    <w:rsid w:val="004A0760"/>
    <w:rsid w:val="004A1123"/>
    <w:rsid w:val="004A1ABF"/>
    <w:rsid w:val="004A2992"/>
    <w:rsid w:val="004A2C7E"/>
    <w:rsid w:val="004A3390"/>
    <w:rsid w:val="004A3B83"/>
    <w:rsid w:val="004A3FF4"/>
    <w:rsid w:val="004A4296"/>
    <w:rsid w:val="004A63CA"/>
    <w:rsid w:val="004B0EF7"/>
    <w:rsid w:val="004B0F3D"/>
    <w:rsid w:val="004B130F"/>
    <w:rsid w:val="004B23E9"/>
    <w:rsid w:val="004B332B"/>
    <w:rsid w:val="004B34E3"/>
    <w:rsid w:val="004B3B01"/>
    <w:rsid w:val="004B3F4F"/>
    <w:rsid w:val="004B434D"/>
    <w:rsid w:val="004B4C34"/>
    <w:rsid w:val="004B6028"/>
    <w:rsid w:val="004B6300"/>
    <w:rsid w:val="004B6409"/>
    <w:rsid w:val="004B7C70"/>
    <w:rsid w:val="004B7F8A"/>
    <w:rsid w:val="004C10CF"/>
    <w:rsid w:val="004C14B1"/>
    <w:rsid w:val="004C14C0"/>
    <w:rsid w:val="004C1AED"/>
    <w:rsid w:val="004C1E0F"/>
    <w:rsid w:val="004C29EE"/>
    <w:rsid w:val="004C332F"/>
    <w:rsid w:val="004C3BF9"/>
    <w:rsid w:val="004C5654"/>
    <w:rsid w:val="004D02D5"/>
    <w:rsid w:val="004D1214"/>
    <w:rsid w:val="004D1265"/>
    <w:rsid w:val="004D12DE"/>
    <w:rsid w:val="004D1C13"/>
    <w:rsid w:val="004D21FB"/>
    <w:rsid w:val="004D24F1"/>
    <w:rsid w:val="004D2FC1"/>
    <w:rsid w:val="004D3685"/>
    <w:rsid w:val="004D3E24"/>
    <w:rsid w:val="004D4081"/>
    <w:rsid w:val="004D4BDC"/>
    <w:rsid w:val="004D4FAF"/>
    <w:rsid w:val="004D5643"/>
    <w:rsid w:val="004D5AD8"/>
    <w:rsid w:val="004D6034"/>
    <w:rsid w:val="004D68ED"/>
    <w:rsid w:val="004D6AB4"/>
    <w:rsid w:val="004D6F88"/>
    <w:rsid w:val="004D6FC7"/>
    <w:rsid w:val="004D7824"/>
    <w:rsid w:val="004D7B58"/>
    <w:rsid w:val="004E0BD7"/>
    <w:rsid w:val="004E1286"/>
    <w:rsid w:val="004E1684"/>
    <w:rsid w:val="004E2AED"/>
    <w:rsid w:val="004E4467"/>
    <w:rsid w:val="004E4F59"/>
    <w:rsid w:val="004E58AA"/>
    <w:rsid w:val="004E6B73"/>
    <w:rsid w:val="004E6C60"/>
    <w:rsid w:val="004E7305"/>
    <w:rsid w:val="004E7884"/>
    <w:rsid w:val="004E7C90"/>
    <w:rsid w:val="004F0368"/>
    <w:rsid w:val="004F04BD"/>
    <w:rsid w:val="004F0953"/>
    <w:rsid w:val="004F0F83"/>
    <w:rsid w:val="004F15F6"/>
    <w:rsid w:val="004F2084"/>
    <w:rsid w:val="004F322E"/>
    <w:rsid w:val="004F357B"/>
    <w:rsid w:val="004F38D4"/>
    <w:rsid w:val="004F3FDF"/>
    <w:rsid w:val="004F499B"/>
    <w:rsid w:val="004F4E12"/>
    <w:rsid w:val="004F5C0E"/>
    <w:rsid w:val="004F7080"/>
    <w:rsid w:val="00500FDE"/>
    <w:rsid w:val="00501001"/>
    <w:rsid w:val="00502880"/>
    <w:rsid w:val="00502FF6"/>
    <w:rsid w:val="0050304D"/>
    <w:rsid w:val="005037E0"/>
    <w:rsid w:val="00504A61"/>
    <w:rsid w:val="00504AAE"/>
    <w:rsid w:val="00504B9E"/>
    <w:rsid w:val="005063F8"/>
    <w:rsid w:val="00506667"/>
    <w:rsid w:val="0050695E"/>
    <w:rsid w:val="00506D0F"/>
    <w:rsid w:val="00507173"/>
    <w:rsid w:val="00507875"/>
    <w:rsid w:val="00507B3E"/>
    <w:rsid w:val="005100E8"/>
    <w:rsid w:val="005102DA"/>
    <w:rsid w:val="00510DD0"/>
    <w:rsid w:val="00511C19"/>
    <w:rsid w:val="00511D5C"/>
    <w:rsid w:val="0051241D"/>
    <w:rsid w:val="005125E1"/>
    <w:rsid w:val="00513050"/>
    <w:rsid w:val="00513575"/>
    <w:rsid w:val="00513960"/>
    <w:rsid w:val="00513C97"/>
    <w:rsid w:val="00514FCF"/>
    <w:rsid w:val="0051519C"/>
    <w:rsid w:val="0051611C"/>
    <w:rsid w:val="005161FD"/>
    <w:rsid w:val="00516443"/>
    <w:rsid w:val="005164F2"/>
    <w:rsid w:val="0051763A"/>
    <w:rsid w:val="005176F7"/>
    <w:rsid w:val="00517734"/>
    <w:rsid w:val="00517D31"/>
    <w:rsid w:val="0052155F"/>
    <w:rsid w:val="005219A2"/>
    <w:rsid w:val="0052240D"/>
    <w:rsid w:val="0052291F"/>
    <w:rsid w:val="00523034"/>
    <w:rsid w:val="0052374E"/>
    <w:rsid w:val="00523FD7"/>
    <w:rsid w:val="00524DD1"/>
    <w:rsid w:val="00525BBE"/>
    <w:rsid w:val="00527544"/>
    <w:rsid w:val="00527C42"/>
    <w:rsid w:val="00527CDD"/>
    <w:rsid w:val="00527F56"/>
    <w:rsid w:val="005301AC"/>
    <w:rsid w:val="00530A80"/>
    <w:rsid w:val="00530B24"/>
    <w:rsid w:val="005311F9"/>
    <w:rsid w:val="00531818"/>
    <w:rsid w:val="005326AD"/>
    <w:rsid w:val="005334D6"/>
    <w:rsid w:val="005339FE"/>
    <w:rsid w:val="0053425E"/>
    <w:rsid w:val="00535D61"/>
    <w:rsid w:val="00535E0E"/>
    <w:rsid w:val="0053658A"/>
    <w:rsid w:val="005367EA"/>
    <w:rsid w:val="00537253"/>
    <w:rsid w:val="005416B0"/>
    <w:rsid w:val="005433CE"/>
    <w:rsid w:val="00543AB4"/>
    <w:rsid w:val="00544623"/>
    <w:rsid w:val="00546AEB"/>
    <w:rsid w:val="00547A37"/>
    <w:rsid w:val="00547F3C"/>
    <w:rsid w:val="00551577"/>
    <w:rsid w:val="0055215A"/>
    <w:rsid w:val="0055299A"/>
    <w:rsid w:val="00552D97"/>
    <w:rsid w:val="00552DB4"/>
    <w:rsid w:val="00554586"/>
    <w:rsid w:val="00554EC2"/>
    <w:rsid w:val="005557D5"/>
    <w:rsid w:val="0055606F"/>
    <w:rsid w:val="00556594"/>
    <w:rsid w:val="005568AE"/>
    <w:rsid w:val="00557938"/>
    <w:rsid w:val="00557B17"/>
    <w:rsid w:val="00557D2F"/>
    <w:rsid w:val="00557D4A"/>
    <w:rsid w:val="00561320"/>
    <w:rsid w:val="00561DD6"/>
    <w:rsid w:val="00561F8D"/>
    <w:rsid w:val="0056243D"/>
    <w:rsid w:val="00562A62"/>
    <w:rsid w:val="00563261"/>
    <w:rsid w:val="005637B5"/>
    <w:rsid w:val="00564034"/>
    <w:rsid w:val="00564635"/>
    <w:rsid w:val="005646C9"/>
    <w:rsid w:val="00564B9F"/>
    <w:rsid w:val="00564C19"/>
    <w:rsid w:val="00564F2C"/>
    <w:rsid w:val="005657FE"/>
    <w:rsid w:val="00566065"/>
    <w:rsid w:val="005661D2"/>
    <w:rsid w:val="005667CA"/>
    <w:rsid w:val="00566FA1"/>
    <w:rsid w:val="005679F3"/>
    <w:rsid w:val="005679F9"/>
    <w:rsid w:val="00567BB0"/>
    <w:rsid w:val="00567D43"/>
    <w:rsid w:val="00567F82"/>
    <w:rsid w:val="005706B3"/>
    <w:rsid w:val="00570C75"/>
    <w:rsid w:val="0057116A"/>
    <w:rsid w:val="00571A5F"/>
    <w:rsid w:val="00572B44"/>
    <w:rsid w:val="00572B78"/>
    <w:rsid w:val="00572E5E"/>
    <w:rsid w:val="005730BC"/>
    <w:rsid w:val="005738E8"/>
    <w:rsid w:val="00573939"/>
    <w:rsid w:val="00574583"/>
    <w:rsid w:val="005745DD"/>
    <w:rsid w:val="00575752"/>
    <w:rsid w:val="00576242"/>
    <w:rsid w:val="00576437"/>
    <w:rsid w:val="00576987"/>
    <w:rsid w:val="005769F7"/>
    <w:rsid w:val="00576C8D"/>
    <w:rsid w:val="005770C5"/>
    <w:rsid w:val="00577CC0"/>
    <w:rsid w:val="00577E81"/>
    <w:rsid w:val="005800FA"/>
    <w:rsid w:val="0058033C"/>
    <w:rsid w:val="0058055B"/>
    <w:rsid w:val="00581027"/>
    <w:rsid w:val="0058108B"/>
    <w:rsid w:val="005822AA"/>
    <w:rsid w:val="005830A2"/>
    <w:rsid w:val="005835B4"/>
    <w:rsid w:val="005842AC"/>
    <w:rsid w:val="00584CBB"/>
    <w:rsid w:val="005856E2"/>
    <w:rsid w:val="00585981"/>
    <w:rsid w:val="005865E7"/>
    <w:rsid w:val="00586D2C"/>
    <w:rsid w:val="005879C0"/>
    <w:rsid w:val="0059010D"/>
    <w:rsid w:val="005921DD"/>
    <w:rsid w:val="00593515"/>
    <w:rsid w:val="00594881"/>
    <w:rsid w:val="0059488E"/>
    <w:rsid w:val="00597102"/>
    <w:rsid w:val="005971F7"/>
    <w:rsid w:val="00597B0C"/>
    <w:rsid w:val="00597B61"/>
    <w:rsid w:val="005A1779"/>
    <w:rsid w:val="005A23B6"/>
    <w:rsid w:val="005A2E21"/>
    <w:rsid w:val="005A3184"/>
    <w:rsid w:val="005A3AE6"/>
    <w:rsid w:val="005A43B6"/>
    <w:rsid w:val="005A45B6"/>
    <w:rsid w:val="005A550F"/>
    <w:rsid w:val="005A58FC"/>
    <w:rsid w:val="005A5D84"/>
    <w:rsid w:val="005A662A"/>
    <w:rsid w:val="005A687D"/>
    <w:rsid w:val="005A72C0"/>
    <w:rsid w:val="005B0138"/>
    <w:rsid w:val="005B0465"/>
    <w:rsid w:val="005B05E0"/>
    <w:rsid w:val="005B1DF8"/>
    <w:rsid w:val="005B21A9"/>
    <w:rsid w:val="005B2998"/>
    <w:rsid w:val="005B353E"/>
    <w:rsid w:val="005B37AF"/>
    <w:rsid w:val="005B3819"/>
    <w:rsid w:val="005B3870"/>
    <w:rsid w:val="005B45F7"/>
    <w:rsid w:val="005B4F9C"/>
    <w:rsid w:val="005B5BD3"/>
    <w:rsid w:val="005C0097"/>
    <w:rsid w:val="005C03DB"/>
    <w:rsid w:val="005C0501"/>
    <w:rsid w:val="005C0CD5"/>
    <w:rsid w:val="005C11A5"/>
    <w:rsid w:val="005C1674"/>
    <w:rsid w:val="005C19B0"/>
    <w:rsid w:val="005C1F73"/>
    <w:rsid w:val="005C30D9"/>
    <w:rsid w:val="005C340A"/>
    <w:rsid w:val="005C35D9"/>
    <w:rsid w:val="005C3847"/>
    <w:rsid w:val="005C53B4"/>
    <w:rsid w:val="005C5631"/>
    <w:rsid w:val="005C622E"/>
    <w:rsid w:val="005C65F9"/>
    <w:rsid w:val="005C731B"/>
    <w:rsid w:val="005C76B5"/>
    <w:rsid w:val="005D00D8"/>
    <w:rsid w:val="005D032A"/>
    <w:rsid w:val="005D2C28"/>
    <w:rsid w:val="005D3F7B"/>
    <w:rsid w:val="005D4449"/>
    <w:rsid w:val="005D4B44"/>
    <w:rsid w:val="005D4DF0"/>
    <w:rsid w:val="005D5FF0"/>
    <w:rsid w:val="005D63CF"/>
    <w:rsid w:val="005D65C9"/>
    <w:rsid w:val="005D6E33"/>
    <w:rsid w:val="005D71BF"/>
    <w:rsid w:val="005D7688"/>
    <w:rsid w:val="005E00AB"/>
    <w:rsid w:val="005E043F"/>
    <w:rsid w:val="005E13FB"/>
    <w:rsid w:val="005E1421"/>
    <w:rsid w:val="005E2387"/>
    <w:rsid w:val="005E2596"/>
    <w:rsid w:val="005E2B45"/>
    <w:rsid w:val="005E468F"/>
    <w:rsid w:val="005E5169"/>
    <w:rsid w:val="005E55E5"/>
    <w:rsid w:val="005E65D2"/>
    <w:rsid w:val="005E721E"/>
    <w:rsid w:val="005E742C"/>
    <w:rsid w:val="005F05F1"/>
    <w:rsid w:val="005F0723"/>
    <w:rsid w:val="005F15CF"/>
    <w:rsid w:val="005F1932"/>
    <w:rsid w:val="005F1A32"/>
    <w:rsid w:val="005F1C79"/>
    <w:rsid w:val="005F1D25"/>
    <w:rsid w:val="005F1F17"/>
    <w:rsid w:val="005F22AD"/>
    <w:rsid w:val="005F297D"/>
    <w:rsid w:val="005F332B"/>
    <w:rsid w:val="005F4732"/>
    <w:rsid w:val="005F4F36"/>
    <w:rsid w:val="005F5059"/>
    <w:rsid w:val="005F6958"/>
    <w:rsid w:val="005F6A91"/>
    <w:rsid w:val="005F7378"/>
    <w:rsid w:val="005F7AE1"/>
    <w:rsid w:val="005F7BA9"/>
    <w:rsid w:val="00600826"/>
    <w:rsid w:val="006008E3"/>
    <w:rsid w:val="00600CE0"/>
    <w:rsid w:val="0060156E"/>
    <w:rsid w:val="00602314"/>
    <w:rsid w:val="00602576"/>
    <w:rsid w:val="0060260B"/>
    <w:rsid w:val="00602D38"/>
    <w:rsid w:val="00603329"/>
    <w:rsid w:val="00603BD2"/>
    <w:rsid w:val="00604795"/>
    <w:rsid w:val="00604CA2"/>
    <w:rsid w:val="00605DDB"/>
    <w:rsid w:val="00605EC0"/>
    <w:rsid w:val="00605F4C"/>
    <w:rsid w:val="006062CA"/>
    <w:rsid w:val="0060686B"/>
    <w:rsid w:val="006102C3"/>
    <w:rsid w:val="00610A80"/>
    <w:rsid w:val="00611667"/>
    <w:rsid w:val="00611C83"/>
    <w:rsid w:val="00611F77"/>
    <w:rsid w:val="0061235E"/>
    <w:rsid w:val="00612536"/>
    <w:rsid w:val="006129BB"/>
    <w:rsid w:val="006135CA"/>
    <w:rsid w:val="00614101"/>
    <w:rsid w:val="00614244"/>
    <w:rsid w:val="006155B7"/>
    <w:rsid w:val="0061674E"/>
    <w:rsid w:val="00616A7E"/>
    <w:rsid w:val="00616BBB"/>
    <w:rsid w:val="00616DB8"/>
    <w:rsid w:val="00617D92"/>
    <w:rsid w:val="0062093C"/>
    <w:rsid w:val="00622AB4"/>
    <w:rsid w:val="0062307C"/>
    <w:rsid w:val="0062350A"/>
    <w:rsid w:val="00623B48"/>
    <w:rsid w:val="006256E0"/>
    <w:rsid w:val="006262E8"/>
    <w:rsid w:val="006262EB"/>
    <w:rsid w:val="00627701"/>
    <w:rsid w:val="0063019D"/>
    <w:rsid w:val="006303B3"/>
    <w:rsid w:val="00630C0E"/>
    <w:rsid w:val="00631773"/>
    <w:rsid w:val="006318FC"/>
    <w:rsid w:val="00631B4A"/>
    <w:rsid w:val="00631E85"/>
    <w:rsid w:val="00632A0A"/>
    <w:rsid w:val="00632B60"/>
    <w:rsid w:val="00633C01"/>
    <w:rsid w:val="00634322"/>
    <w:rsid w:val="00634544"/>
    <w:rsid w:val="00634816"/>
    <w:rsid w:val="0063486C"/>
    <w:rsid w:val="00635CBF"/>
    <w:rsid w:val="00637572"/>
    <w:rsid w:val="006376B6"/>
    <w:rsid w:val="006378FD"/>
    <w:rsid w:val="00637E70"/>
    <w:rsid w:val="00637F4B"/>
    <w:rsid w:val="0064092C"/>
    <w:rsid w:val="00640961"/>
    <w:rsid w:val="00641629"/>
    <w:rsid w:val="00641A8A"/>
    <w:rsid w:val="006424AD"/>
    <w:rsid w:val="00642E31"/>
    <w:rsid w:val="00643304"/>
    <w:rsid w:val="006449E2"/>
    <w:rsid w:val="00645174"/>
    <w:rsid w:val="00646976"/>
    <w:rsid w:val="00646B2C"/>
    <w:rsid w:val="00650836"/>
    <w:rsid w:val="00651A9B"/>
    <w:rsid w:val="00651CAD"/>
    <w:rsid w:val="00651CFE"/>
    <w:rsid w:val="0065262A"/>
    <w:rsid w:val="00652657"/>
    <w:rsid w:val="00652B57"/>
    <w:rsid w:val="0065306A"/>
    <w:rsid w:val="006539D4"/>
    <w:rsid w:val="00653B1D"/>
    <w:rsid w:val="00653BF3"/>
    <w:rsid w:val="00653CD2"/>
    <w:rsid w:val="0065429F"/>
    <w:rsid w:val="00655529"/>
    <w:rsid w:val="006558EB"/>
    <w:rsid w:val="00656C9D"/>
    <w:rsid w:val="006573E2"/>
    <w:rsid w:val="00657AA8"/>
    <w:rsid w:val="00657E24"/>
    <w:rsid w:val="006601B1"/>
    <w:rsid w:val="00660238"/>
    <w:rsid w:val="0066059A"/>
    <w:rsid w:val="00660709"/>
    <w:rsid w:val="006608C4"/>
    <w:rsid w:val="00660FC8"/>
    <w:rsid w:val="00661BD6"/>
    <w:rsid w:val="0066254A"/>
    <w:rsid w:val="0066285F"/>
    <w:rsid w:val="006635D1"/>
    <w:rsid w:val="00663A4E"/>
    <w:rsid w:val="00663DAE"/>
    <w:rsid w:val="00663EA6"/>
    <w:rsid w:val="006643D5"/>
    <w:rsid w:val="0066443E"/>
    <w:rsid w:val="00664685"/>
    <w:rsid w:val="00664744"/>
    <w:rsid w:val="0066490C"/>
    <w:rsid w:val="00664C97"/>
    <w:rsid w:val="00664D14"/>
    <w:rsid w:val="00664E08"/>
    <w:rsid w:val="00665C39"/>
    <w:rsid w:val="00666DBE"/>
    <w:rsid w:val="00667035"/>
    <w:rsid w:val="006672D6"/>
    <w:rsid w:val="00667ADD"/>
    <w:rsid w:val="00667E85"/>
    <w:rsid w:val="00670555"/>
    <w:rsid w:val="0067075A"/>
    <w:rsid w:val="00670C43"/>
    <w:rsid w:val="00671CB9"/>
    <w:rsid w:val="00672DA4"/>
    <w:rsid w:val="00673C5D"/>
    <w:rsid w:val="00673ED0"/>
    <w:rsid w:val="006748E0"/>
    <w:rsid w:val="00674FA7"/>
    <w:rsid w:val="006750F1"/>
    <w:rsid w:val="006759E3"/>
    <w:rsid w:val="00675C07"/>
    <w:rsid w:val="00675C57"/>
    <w:rsid w:val="00676036"/>
    <w:rsid w:val="006764EB"/>
    <w:rsid w:val="006769DE"/>
    <w:rsid w:val="00676D5E"/>
    <w:rsid w:val="00676E81"/>
    <w:rsid w:val="00677648"/>
    <w:rsid w:val="00680E1A"/>
    <w:rsid w:val="00681B47"/>
    <w:rsid w:val="00682742"/>
    <w:rsid w:val="00682B50"/>
    <w:rsid w:val="00682C8F"/>
    <w:rsid w:val="00683BB6"/>
    <w:rsid w:val="00684911"/>
    <w:rsid w:val="006852F3"/>
    <w:rsid w:val="006853FB"/>
    <w:rsid w:val="006856C8"/>
    <w:rsid w:val="00685D10"/>
    <w:rsid w:val="00686073"/>
    <w:rsid w:val="00686452"/>
    <w:rsid w:val="006868F6"/>
    <w:rsid w:val="00686AED"/>
    <w:rsid w:val="00686EA3"/>
    <w:rsid w:val="00687A5E"/>
    <w:rsid w:val="006905A5"/>
    <w:rsid w:val="006909F3"/>
    <w:rsid w:val="00690F93"/>
    <w:rsid w:val="0069257A"/>
    <w:rsid w:val="00692821"/>
    <w:rsid w:val="00693194"/>
    <w:rsid w:val="006952ED"/>
    <w:rsid w:val="00696207"/>
    <w:rsid w:val="006963DA"/>
    <w:rsid w:val="00696BFF"/>
    <w:rsid w:val="00697022"/>
    <w:rsid w:val="006A11C6"/>
    <w:rsid w:val="006A17C8"/>
    <w:rsid w:val="006A260A"/>
    <w:rsid w:val="006A2E36"/>
    <w:rsid w:val="006A370A"/>
    <w:rsid w:val="006A3859"/>
    <w:rsid w:val="006A3F15"/>
    <w:rsid w:val="006A4367"/>
    <w:rsid w:val="006A44BC"/>
    <w:rsid w:val="006A4AEC"/>
    <w:rsid w:val="006A63C4"/>
    <w:rsid w:val="006A6A9A"/>
    <w:rsid w:val="006A6FA9"/>
    <w:rsid w:val="006A6FE7"/>
    <w:rsid w:val="006A7C14"/>
    <w:rsid w:val="006B01C3"/>
    <w:rsid w:val="006B043F"/>
    <w:rsid w:val="006B0D5F"/>
    <w:rsid w:val="006B12B5"/>
    <w:rsid w:val="006B21A7"/>
    <w:rsid w:val="006B243D"/>
    <w:rsid w:val="006B2DD5"/>
    <w:rsid w:val="006B3CB7"/>
    <w:rsid w:val="006B3CEF"/>
    <w:rsid w:val="006B475B"/>
    <w:rsid w:val="006B4AF4"/>
    <w:rsid w:val="006B59CD"/>
    <w:rsid w:val="006B6E93"/>
    <w:rsid w:val="006C0510"/>
    <w:rsid w:val="006C0D60"/>
    <w:rsid w:val="006C0E32"/>
    <w:rsid w:val="006C21CB"/>
    <w:rsid w:val="006C24FB"/>
    <w:rsid w:val="006C305C"/>
    <w:rsid w:val="006C3936"/>
    <w:rsid w:val="006C4047"/>
    <w:rsid w:val="006C41B6"/>
    <w:rsid w:val="006C4FAC"/>
    <w:rsid w:val="006C53ED"/>
    <w:rsid w:val="006C5A34"/>
    <w:rsid w:val="006C6057"/>
    <w:rsid w:val="006C689B"/>
    <w:rsid w:val="006C70C1"/>
    <w:rsid w:val="006C71A1"/>
    <w:rsid w:val="006C75FB"/>
    <w:rsid w:val="006C7925"/>
    <w:rsid w:val="006C7946"/>
    <w:rsid w:val="006C7970"/>
    <w:rsid w:val="006D16DC"/>
    <w:rsid w:val="006D2268"/>
    <w:rsid w:val="006D26B5"/>
    <w:rsid w:val="006D3691"/>
    <w:rsid w:val="006D3D8A"/>
    <w:rsid w:val="006D5588"/>
    <w:rsid w:val="006D58B4"/>
    <w:rsid w:val="006D5F02"/>
    <w:rsid w:val="006D64E1"/>
    <w:rsid w:val="006D6E02"/>
    <w:rsid w:val="006D7016"/>
    <w:rsid w:val="006D7101"/>
    <w:rsid w:val="006D75C5"/>
    <w:rsid w:val="006D78B7"/>
    <w:rsid w:val="006D7919"/>
    <w:rsid w:val="006D7EFC"/>
    <w:rsid w:val="006E0112"/>
    <w:rsid w:val="006E0C7C"/>
    <w:rsid w:val="006E1BE1"/>
    <w:rsid w:val="006E2E11"/>
    <w:rsid w:val="006E359B"/>
    <w:rsid w:val="006E402E"/>
    <w:rsid w:val="006E4599"/>
    <w:rsid w:val="006E4E28"/>
    <w:rsid w:val="006E4FA9"/>
    <w:rsid w:val="006E580F"/>
    <w:rsid w:val="006E6975"/>
    <w:rsid w:val="006E6D6C"/>
    <w:rsid w:val="006E71CA"/>
    <w:rsid w:val="006E73BB"/>
    <w:rsid w:val="006E759A"/>
    <w:rsid w:val="006E7A36"/>
    <w:rsid w:val="006F040D"/>
    <w:rsid w:val="006F0FA5"/>
    <w:rsid w:val="006F111A"/>
    <w:rsid w:val="006F189E"/>
    <w:rsid w:val="006F2E1E"/>
    <w:rsid w:val="006F3232"/>
    <w:rsid w:val="006F362E"/>
    <w:rsid w:val="006F37D7"/>
    <w:rsid w:val="006F3ED4"/>
    <w:rsid w:val="006F6AB2"/>
    <w:rsid w:val="006F78A0"/>
    <w:rsid w:val="00700027"/>
    <w:rsid w:val="00700303"/>
    <w:rsid w:val="00700713"/>
    <w:rsid w:val="00700FBA"/>
    <w:rsid w:val="0070169D"/>
    <w:rsid w:val="00701B6C"/>
    <w:rsid w:val="00702189"/>
    <w:rsid w:val="00703DCB"/>
    <w:rsid w:val="00703FAB"/>
    <w:rsid w:val="0070412D"/>
    <w:rsid w:val="0070518F"/>
    <w:rsid w:val="00705B17"/>
    <w:rsid w:val="00705E5D"/>
    <w:rsid w:val="007060A1"/>
    <w:rsid w:val="00707004"/>
    <w:rsid w:val="00707014"/>
    <w:rsid w:val="00707481"/>
    <w:rsid w:val="00707BAA"/>
    <w:rsid w:val="00707D8B"/>
    <w:rsid w:val="00707EB7"/>
    <w:rsid w:val="00707F86"/>
    <w:rsid w:val="0071022F"/>
    <w:rsid w:val="007108F7"/>
    <w:rsid w:val="00710DE8"/>
    <w:rsid w:val="00710E0E"/>
    <w:rsid w:val="0071107C"/>
    <w:rsid w:val="007110E7"/>
    <w:rsid w:val="007112DE"/>
    <w:rsid w:val="0071133E"/>
    <w:rsid w:val="00711466"/>
    <w:rsid w:val="00711A35"/>
    <w:rsid w:val="00711BF8"/>
    <w:rsid w:val="00711DFC"/>
    <w:rsid w:val="0071394E"/>
    <w:rsid w:val="0071520D"/>
    <w:rsid w:val="00716404"/>
    <w:rsid w:val="007171BE"/>
    <w:rsid w:val="0071777C"/>
    <w:rsid w:val="0072048E"/>
    <w:rsid w:val="00721230"/>
    <w:rsid w:val="00721F8B"/>
    <w:rsid w:val="00722812"/>
    <w:rsid w:val="00723F3E"/>
    <w:rsid w:val="0072467A"/>
    <w:rsid w:val="00724A2A"/>
    <w:rsid w:val="007253B7"/>
    <w:rsid w:val="00726648"/>
    <w:rsid w:val="00727FBC"/>
    <w:rsid w:val="00730115"/>
    <w:rsid w:val="00730A9E"/>
    <w:rsid w:val="00731CDC"/>
    <w:rsid w:val="0073249E"/>
    <w:rsid w:val="00732A10"/>
    <w:rsid w:val="0073325A"/>
    <w:rsid w:val="00733EC2"/>
    <w:rsid w:val="00734AD6"/>
    <w:rsid w:val="00734E00"/>
    <w:rsid w:val="00734E19"/>
    <w:rsid w:val="00734FF4"/>
    <w:rsid w:val="007361CE"/>
    <w:rsid w:val="007362CE"/>
    <w:rsid w:val="0073641A"/>
    <w:rsid w:val="007364CC"/>
    <w:rsid w:val="007365AA"/>
    <w:rsid w:val="00736C2E"/>
    <w:rsid w:val="0074041D"/>
    <w:rsid w:val="007406B6"/>
    <w:rsid w:val="00740E1B"/>
    <w:rsid w:val="00740E45"/>
    <w:rsid w:val="007411F1"/>
    <w:rsid w:val="007414E0"/>
    <w:rsid w:val="0074184F"/>
    <w:rsid w:val="0074203C"/>
    <w:rsid w:val="0074270D"/>
    <w:rsid w:val="0074299E"/>
    <w:rsid w:val="00742D58"/>
    <w:rsid w:val="007435D7"/>
    <w:rsid w:val="007442E5"/>
    <w:rsid w:val="007445B7"/>
    <w:rsid w:val="00744A68"/>
    <w:rsid w:val="00744C57"/>
    <w:rsid w:val="00744D65"/>
    <w:rsid w:val="00744DD0"/>
    <w:rsid w:val="007452D3"/>
    <w:rsid w:val="0074557C"/>
    <w:rsid w:val="0074578F"/>
    <w:rsid w:val="0074591A"/>
    <w:rsid w:val="00745C0B"/>
    <w:rsid w:val="0074692E"/>
    <w:rsid w:val="00746C9F"/>
    <w:rsid w:val="00747B83"/>
    <w:rsid w:val="007506A3"/>
    <w:rsid w:val="007506A4"/>
    <w:rsid w:val="00750E23"/>
    <w:rsid w:val="007517E0"/>
    <w:rsid w:val="00751B0D"/>
    <w:rsid w:val="00751BC2"/>
    <w:rsid w:val="0075249B"/>
    <w:rsid w:val="00753A89"/>
    <w:rsid w:val="00754ABB"/>
    <w:rsid w:val="00754AF1"/>
    <w:rsid w:val="007553CE"/>
    <w:rsid w:val="00755683"/>
    <w:rsid w:val="00755C10"/>
    <w:rsid w:val="007562EA"/>
    <w:rsid w:val="00756CA4"/>
    <w:rsid w:val="00762A69"/>
    <w:rsid w:val="00763AF0"/>
    <w:rsid w:val="00763DE7"/>
    <w:rsid w:val="00763E15"/>
    <w:rsid w:val="0076435C"/>
    <w:rsid w:val="00764755"/>
    <w:rsid w:val="00764DA9"/>
    <w:rsid w:val="0076549A"/>
    <w:rsid w:val="00765556"/>
    <w:rsid w:val="007658BA"/>
    <w:rsid w:val="00765C63"/>
    <w:rsid w:val="00765DC1"/>
    <w:rsid w:val="00767403"/>
    <w:rsid w:val="0076771E"/>
    <w:rsid w:val="00771876"/>
    <w:rsid w:val="00772134"/>
    <w:rsid w:val="00772DBF"/>
    <w:rsid w:val="00772E3F"/>
    <w:rsid w:val="007734CF"/>
    <w:rsid w:val="007734F8"/>
    <w:rsid w:val="00773524"/>
    <w:rsid w:val="00774102"/>
    <w:rsid w:val="0077444F"/>
    <w:rsid w:val="00774F97"/>
    <w:rsid w:val="007750EB"/>
    <w:rsid w:val="0077518E"/>
    <w:rsid w:val="007768E8"/>
    <w:rsid w:val="00777903"/>
    <w:rsid w:val="00777C69"/>
    <w:rsid w:val="007806D8"/>
    <w:rsid w:val="007815A6"/>
    <w:rsid w:val="00781EA5"/>
    <w:rsid w:val="007829F8"/>
    <w:rsid w:val="00782A26"/>
    <w:rsid w:val="00783768"/>
    <w:rsid w:val="00784015"/>
    <w:rsid w:val="00784445"/>
    <w:rsid w:val="00784714"/>
    <w:rsid w:val="00784AB4"/>
    <w:rsid w:val="00784D82"/>
    <w:rsid w:val="00784FF5"/>
    <w:rsid w:val="0078594B"/>
    <w:rsid w:val="00785B5D"/>
    <w:rsid w:val="00786B60"/>
    <w:rsid w:val="007870D3"/>
    <w:rsid w:val="00787358"/>
    <w:rsid w:val="0079090B"/>
    <w:rsid w:val="00790F8D"/>
    <w:rsid w:val="00791E51"/>
    <w:rsid w:val="00792E5B"/>
    <w:rsid w:val="007940F7"/>
    <w:rsid w:val="00794AFD"/>
    <w:rsid w:val="00794BAF"/>
    <w:rsid w:val="00794CD7"/>
    <w:rsid w:val="00795842"/>
    <w:rsid w:val="00796099"/>
    <w:rsid w:val="00796989"/>
    <w:rsid w:val="00796B0D"/>
    <w:rsid w:val="007979E4"/>
    <w:rsid w:val="00797FAF"/>
    <w:rsid w:val="007A01CA"/>
    <w:rsid w:val="007A03FB"/>
    <w:rsid w:val="007A03FC"/>
    <w:rsid w:val="007A0B51"/>
    <w:rsid w:val="007A11B5"/>
    <w:rsid w:val="007A1A24"/>
    <w:rsid w:val="007A1C9E"/>
    <w:rsid w:val="007A1F9B"/>
    <w:rsid w:val="007A2C2F"/>
    <w:rsid w:val="007A2F94"/>
    <w:rsid w:val="007A353C"/>
    <w:rsid w:val="007A35EA"/>
    <w:rsid w:val="007A43FB"/>
    <w:rsid w:val="007A4C8C"/>
    <w:rsid w:val="007A538A"/>
    <w:rsid w:val="007A677F"/>
    <w:rsid w:val="007A6D6F"/>
    <w:rsid w:val="007A6F26"/>
    <w:rsid w:val="007A72E2"/>
    <w:rsid w:val="007A7582"/>
    <w:rsid w:val="007A76D4"/>
    <w:rsid w:val="007A7FE4"/>
    <w:rsid w:val="007B103F"/>
    <w:rsid w:val="007B2A53"/>
    <w:rsid w:val="007B2DBD"/>
    <w:rsid w:val="007B4015"/>
    <w:rsid w:val="007B5767"/>
    <w:rsid w:val="007B5EE4"/>
    <w:rsid w:val="007C0D85"/>
    <w:rsid w:val="007C2159"/>
    <w:rsid w:val="007C32BF"/>
    <w:rsid w:val="007C3303"/>
    <w:rsid w:val="007C3E48"/>
    <w:rsid w:val="007C6749"/>
    <w:rsid w:val="007C6B75"/>
    <w:rsid w:val="007C7265"/>
    <w:rsid w:val="007C7531"/>
    <w:rsid w:val="007D0254"/>
    <w:rsid w:val="007D0DBD"/>
    <w:rsid w:val="007D0F07"/>
    <w:rsid w:val="007D110A"/>
    <w:rsid w:val="007D1CBC"/>
    <w:rsid w:val="007D20E6"/>
    <w:rsid w:val="007D28DB"/>
    <w:rsid w:val="007D2B45"/>
    <w:rsid w:val="007D5942"/>
    <w:rsid w:val="007D5E56"/>
    <w:rsid w:val="007D7CA6"/>
    <w:rsid w:val="007D7D56"/>
    <w:rsid w:val="007D7EBB"/>
    <w:rsid w:val="007E0520"/>
    <w:rsid w:val="007E0805"/>
    <w:rsid w:val="007E0AFC"/>
    <w:rsid w:val="007E0E60"/>
    <w:rsid w:val="007E10BC"/>
    <w:rsid w:val="007E128B"/>
    <w:rsid w:val="007E2261"/>
    <w:rsid w:val="007E2272"/>
    <w:rsid w:val="007E27D1"/>
    <w:rsid w:val="007E2B92"/>
    <w:rsid w:val="007E2F87"/>
    <w:rsid w:val="007E2F97"/>
    <w:rsid w:val="007E3BAA"/>
    <w:rsid w:val="007E4358"/>
    <w:rsid w:val="007E4BEC"/>
    <w:rsid w:val="007E5962"/>
    <w:rsid w:val="007E5A05"/>
    <w:rsid w:val="007E5CFF"/>
    <w:rsid w:val="007E64F1"/>
    <w:rsid w:val="007E6CE6"/>
    <w:rsid w:val="007E7AFB"/>
    <w:rsid w:val="007F0974"/>
    <w:rsid w:val="007F1775"/>
    <w:rsid w:val="007F1E4F"/>
    <w:rsid w:val="007F22A1"/>
    <w:rsid w:val="007F22EF"/>
    <w:rsid w:val="007F2704"/>
    <w:rsid w:val="007F2EEB"/>
    <w:rsid w:val="007F399F"/>
    <w:rsid w:val="007F4356"/>
    <w:rsid w:val="007F4BB1"/>
    <w:rsid w:val="007F4CF8"/>
    <w:rsid w:val="007F50F4"/>
    <w:rsid w:val="007F5238"/>
    <w:rsid w:val="007F61AE"/>
    <w:rsid w:val="007F61DC"/>
    <w:rsid w:val="007F6519"/>
    <w:rsid w:val="007F68FD"/>
    <w:rsid w:val="007F6927"/>
    <w:rsid w:val="007F7A1E"/>
    <w:rsid w:val="007F7EA2"/>
    <w:rsid w:val="007F7EFD"/>
    <w:rsid w:val="00800762"/>
    <w:rsid w:val="00802557"/>
    <w:rsid w:val="0080260B"/>
    <w:rsid w:val="00802BE9"/>
    <w:rsid w:val="00802C3A"/>
    <w:rsid w:val="00803542"/>
    <w:rsid w:val="00803AE8"/>
    <w:rsid w:val="0080454A"/>
    <w:rsid w:val="00804F25"/>
    <w:rsid w:val="00805963"/>
    <w:rsid w:val="00806CBD"/>
    <w:rsid w:val="008073EC"/>
    <w:rsid w:val="00807694"/>
    <w:rsid w:val="00807B31"/>
    <w:rsid w:val="00807C33"/>
    <w:rsid w:val="0081017E"/>
    <w:rsid w:val="008120C2"/>
    <w:rsid w:val="00812811"/>
    <w:rsid w:val="008136C2"/>
    <w:rsid w:val="00814A72"/>
    <w:rsid w:val="00814FBF"/>
    <w:rsid w:val="008151FF"/>
    <w:rsid w:val="00815223"/>
    <w:rsid w:val="0081618E"/>
    <w:rsid w:val="00816759"/>
    <w:rsid w:val="008178C6"/>
    <w:rsid w:val="00817909"/>
    <w:rsid w:val="00820A1C"/>
    <w:rsid w:val="00820EE4"/>
    <w:rsid w:val="0082145A"/>
    <w:rsid w:val="00821981"/>
    <w:rsid w:val="00821BF4"/>
    <w:rsid w:val="00821EF1"/>
    <w:rsid w:val="008223A1"/>
    <w:rsid w:val="00822EB2"/>
    <w:rsid w:val="00823844"/>
    <w:rsid w:val="00824A6E"/>
    <w:rsid w:val="00825A4D"/>
    <w:rsid w:val="0082673C"/>
    <w:rsid w:val="0082749B"/>
    <w:rsid w:val="0082759F"/>
    <w:rsid w:val="008303C9"/>
    <w:rsid w:val="00830A3E"/>
    <w:rsid w:val="008310C0"/>
    <w:rsid w:val="008310F7"/>
    <w:rsid w:val="00831D2D"/>
    <w:rsid w:val="008333B6"/>
    <w:rsid w:val="00834176"/>
    <w:rsid w:val="00834241"/>
    <w:rsid w:val="00834247"/>
    <w:rsid w:val="0083526A"/>
    <w:rsid w:val="00835C70"/>
    <w:rsid w:val="008362AA"/>
    <w:rsid w:val="00836FEE"/>
    <w:rsid w:val="008370C7"/>
    <w:rsid w:val="00837DAD"/>
    <w:rsid w:val="008412C6"/>
    <w:rsid w:val="00841C84"/>
    <w:rsid w:val="00842229"/>
    <w:rsid w:val="00842726"/>
    <w:rsid w:val="008438BC"/>
    <w:rsid w:val="00844AA4"/>
    <w:rsid w:val="00845E2E"/>
    <w:rsid w:val="008461E0"/>
    <w:rsid w:val="00846FA5"/>
    <w:rsid w:val="0084717C"/>
    <w:rsid w:val="00847B34"/>
    <w:rsid w:val="00847CD3"/>
    <w:rsid w:val="00850368"/>
    <w:rsid w:val="0085178B"/>
    <w:rsid w:val="0085242F"/>
    <w:rsid w:val="00852CCF"/>
    <w:rsid w:val="00853056"/>
    <w:rsid w:val="008530F7"/>
    <w:rsid w:val="008533E7"/>
    <w:rsid w:val="00854BDE"/>
    <w:rsid w:val="00854C9E"/>
    <w:rsid w:val="00856CD7"/>
    <w:rsid w:val="008602BD"/>
    <w:rsid w:val="008613E0"/>
    <w:rsid w:val="00864629"/>
    <w:rsid w:val="00865763"/>
    <w:rsid w:val="00866938"/>
    <w:rsid w:val="00866B1F"/>
    <w:rsid w:val="00866C01"/>
    <w:rsid w:val="00867C4D"/>
    <w:rsid w:val="00867D71"/>
    <w:rsid w:val="008703BD"/>
    <w:rsid w:val="00870B23"/>
    <w:rsid w:val="008716ED"/>
    <w:rsid w:val="0087226C"/>
    <w:rsid w:val="00872288"/>
    <w:rsid w:val="00872C0D"/>
    <w:rsid w:val="0087315C"/>
    <w:rsid w:val="008756FB"/>
    <w:rsid w:val="00876999"/>
    <w:rsid w:val="00876C5B"/>
    <w:rsid w:val="008771FC"/>
    <w:rsid w:val="00877ACC"/>
    <w:rsid w:val="00877ED3"/>
    <w:rsid w:val="008812CF"/>
    <w:rsid w:val="008816FA"/>
    <w:rsid w:val="008818E5"/>
    <w:rsid w:val="00881CF4"/>
    <w:rsid w:val="00881DDA"/>
    <w:rsid w:val="00882C3A"/>
    <w:rsid w:val="008831E1"/>
    <w:rsid w:val="00883239"/>
    <w:rsid w:val="008833BF"/>
    <w:rsid w:val="00883618"/>
    <w:rsid w:val="00883700"/>
    <w:rsid w:val="00885484"/>
    <w:rsid w:val="00890484"/>
    <w:rsid w:val="00890B23"/>
    <w:rsid w:val="00890E5B"/>
    <w:rsid w:val="0089252A"/>
    <w:rsid w:val="00892829"/>
    <w:rsid w:val="00892890"/>
    <w:rsid w:val="00893757"/>
    <w:rsid w:val="00893980"/>
    <w:rsid w:val="00894764"/>
    <w:rsid w:val="00894AF2"/>
    <w:rsid w:val="0089587E"/>
    <w:rsid w:val="00895B87"/>
    <w:rsid w:val="00896678"/>
    <w:rsid w:val="00896ADD"/>
    <w:rsid w:val="00897255"/>
    <w:rsid w:val="008A0346"/>
    <w:rsid w:val="008A0618"/>
    <w:rsid w:val="008A12F0"/>
    <w:rsid w:val="008A1798"/>
    <w:rsid w:val="008A1F08"/>
    <w:rsid w:val="008A29BB"/>
    <w:rsid w:val="008A2F70"/>
    <w:rsid w:val="008A3111"/>
    <w:rsid w:val="008A3BCA"/>
    <w:rsid w:val="008A524D"/>
    <w:rsid w:val="008A557B"/>
    <w:rsid w:val="008A5D1B"/>
    <w:rsid w:val="008A642F"/>
    <w:rsid w:val="008A675B"/>
    <w:rsid w:val="008A6A70"/>
    <w:rsid w:val="008A6B24"/>
    <w:rsid w:val="008A734B"/>
    <w:rsid w:val="008A741C"/>
    <w:rsid w:val="008B086E"/>
    <w:rsid w:val="008B09BE"/>
    <w:rsid w:val="008B0B05"/>
    <w:rsid w:val="008B0D23"/>
    <w:rsid w:val="008B0E46"/>
    <w:rsid w:val="008B0F62"/>
    <w:rsid w:val="008B1235"/>
    <w:rsid w:val="008B2C36"/>
    <w:rsid w:val="008B3E87"/>
    <w:rsid w:val="008B3EDE"/>
    <w:rsid w:val="008B52FE"/>
    <w:rsid w:val="008B5A4D"/>
    <w:rsid w:val="008B6A35"/>
    <w:rsid w:val="008B74BB"/>
    <w:rsid w:val="008B7AA5"/>
    <w:rsid w:val="008C0234"/>
    <w:rsid w:val="008C0245"/>
    <w:rsid w:val="008C0797"/>
    <w:rsid w:val="008C07A5"/>
    <w:rsid w:val="008C2D76"/>
    <w:rsid w:val="008C4321"/>
    <w:rsid w:val="008C5238"/>
    <w:rsid w:val="008C55A9"/>
    <w:rsid w:val="008C5675"/>
    <w:rsid w:val="008C5F17"/>
    <w:rsid w:val="008C5FA3"/>
    <w:rsid w:val="008C6070"/>
    <w:rsid w:val="008C67DF"/>
    <w:rsid w:val="008C680C"/>
    <w:rsid w:val="008C7225"/>
    <w:rsid w:val="008C767F"/>
    <w:rsid w:val="008C7705"/>
    <w:rsid w:val="008C7A00"/>
    <w:rsid w:val="008C7CEF"/>
    <w:rsid w:val="008D07C1"/>
    <w:rsid w:val="008D093F"/>
    <w:rsid w:val="008D0A09"/>
    <w:rsid w:val="008D0FC5"/>
    <w:rsid w:val="008D2106"/>
    <w:rsid w:val="008D290E"/>
    <w:rsid w:val="008D370D"/>
    <w:rsid w:val="008D3717"/>
    <w:rsid w:val="008D3852"/>
    <w:rsid w:val="008D4A53"/>
    <w:rsid w:val="008D5DCE"/>
    <w:rsid w:val="008D639C"/>
    <w:rsid w:val="008D66BE"/>
    <w:rsid w:val="008D6C45"/>
    <w:rsid w:val="008D6EF0"/>
    <w:rsid w:val="008D78B0"/>
    <w:rsid w:val="008D790B"/>
    <w:rsid w:val="008E0177"/>
    <w:rsid w:val="008E0D20"/>
    <w:rsid w:val="008E1F9B"/>
    <w:rsid w:val="008E2009"/>
    <w:rsid w:val="008E2774"/>
    <w:rsid w:val="008E2A1C"/>
    <w:rsid w:val="008E326B"/>
    <w:rsid w:val="008E36EA"/>
    <w:rsid w:val="008E42B8"/>
    <w:rsid w:val="008E4B3A"/>
    <w:rsid w:val="008E4BAE"/>
    <w:rsid w:val="008E4C5C"/>
    <w:rsid w:val="008E4EBC"/>
    <w:rsid w:val="008E5031"/>
    <w:rsid w:val="008E53CC"/>
    <w:rsid w:val="008E5F6A"/>
    <w:rsid w:val="008E5FE6"/>
    <w:rsid w:val="008E6146"/>
    <w:rsid w:val="008E690A"/>
    <w:rsid w:val="008E6969"/>
    <w:rsid w:val="008E796C"/>
    <w:rsid w:val="008E7D42"/>
    <w:rsid w:val="008E7E52"/>
    <w:rsid w:val="008F0110"/>
    <w:rsid w:val="008F0935"/>
    <w:rsid w:val="008F0D27"/>
    <w:rsid w:val="008F1144"/>
    <w:rsid w:val="008F131A"/>
    <w:rsid w:val="008F171B"/>
    <w:rsid w:val="008F2476"/>
    <w:rsid w:val="008F29EE"/>
    <w:rsid w:val="008F2BC3"/>
    <w:rsid w:val="008F42FE"/>
    <w:rsid w:val="008F557A"/>
    <w:rsid w:val="008F5912"/>
    <w:rsid w:val="008F59BA"/>
    <w:rsid w:val="008F5BAC"/>
    <w:rsid w:val="008F62CB"/>
    <w:rsid w:val="008F6CBA"/>
    <w:rsid w:val="00900232"/>
    <w:rsid w:val="00900897"/>
    <w:rsid w:val="00900D86"/>
    <w:rsid w:val="009011CC"/>
    <w:rsid w:val="00901A7F"/>
    <w:rsid w:val="00901CAE"/>
    <w:rsid w:val="00901EEF"/>
    <w:rsid w:val="009021AC"/>
    <w:rsid w:val="00902322"/>
    <w:rsid w:val="0090353C"/>
    <w:rsid w:val="00903552"/>
    <w:rsid w:val="0090362B"/>
    <w:rsid w:val="009036B0"/>
    <w:rsid w:val="00904089"/>
    <w:rsid w:val="00904577"/>
    <w:rsid w:val="00905C4E"/>
    <w:rsid w:val="009063A3"/>
    <w:rsid w:val="00906E8D"/>
    <w:rsid w:val="00907173"/>
    <w:rsid w:val="009075C2"/>
    <w:rsid w:val="00907B2F"/>
    <w:rsid w:val="00907DFB"/>
    <w:rsid w:val="009101D7"/>
    <w:rsid w:val="00911166"/>
    <w:rsid w:val="00911749"/>
    <w:rsid w:val="009119BB"/>
    <w:rsid w:val="009131CC"/>
    <w:rsid w:val="00913853"/>
    <w:rsid w:val="00913CF9"/>
    <w:rsid w:val="009140AC"/>
    <w:rsid w:val="0091514C"/>
    <w:rsid w:val="00915749"/>
    <w:rsid w:val="00915AB5"/>
    <w:rsid w:val="00915BE1"/>
    <w:rsid w:val="00915DE1"/>
    <w:rsid w:val="00915E73"/>
    <w:rsid w:val="00916548"/>
    <w:rsid w:val="00916EF7"/>
    <w:rsid w:val="00917225"/>
    <w:rsid w:val="00917988"/>
    <w:rsid w:val="00917B69"/>
    <w:rsid w:val="00917BAD"/>
    <w:rsid w:val="00917C3E"/>
    <w:rsid w:val="0092006C"/>
    <w:rsid w:val="009200B5"/>
    <w:rsid w:val="0092084F"/>
    <w:rsid w:val="00920B97"/>
    <w:rsid w:val="00920E2D"/>
    <w:rsid w:val="009229ED"/>
    <w:rsid w:val="00922AC2"/>
    <w:rsid w:val="00923145"/>
    <w:rsid w:val="00923303"/>
    <w:rsid w:val="0092331D"/>
    <w:rsid w:val="009241D8"/>
    <w:rsid w:val="00924818"/>
    <w:rsid w:val="009251EA"/>
    <w:rsid w:val="0092574B"/>
    <w:rsid w:val="00925E56"/>
    <w:rsid w:val="00925E71"/>
    <w:rsid w:val="009264FA"/>
    <w:rsid w:val="00926B65"/>
    <w:rsid w:val="00927285"/>
    <w:rsid w:val="009272AD"/>
    <w:rsid w:val="0092758C"/>
    <w:rsid w:val="00927C31"/>
    <w:rsid w:val="00930763"/>
    <w:rsid w:val="0093112A"/>
    <w:rsid w:val="0093182E"/>
    <w:rsid w:val="009319D3"/>
    <w:rsid w:val="00931FDC"/>
    <w:rsid w:val="00933E56"/>
    <w:rsid w:val="0093735F"/>
    <w:rsid w:val="009376A5"/>
    <w:rsid w:val="00937EDB"/>
    <w:rsid w:val="0094045C"/>
    <w:rsid w:val="009404C0"/>
    <w:rsid w:val="00941318"/>
    <w:rsid w:val="009413AB"/>
    <w:rsid w:val="009417BB"/>
    <w:rsid w:val="009417C6"/>
    <w:rsid w:val="00941A8B"/>
    <w:rsid w:val="00942468"/>
    <w:rsid w:val="00942591"/>
    <w:rsid w:val="00943471"/>
    <w:rsid w:val="00943B0A"/>
    <w:rsid w:val="00943F51"/>
    <w:rsid w:val="009442D5"/>
    <w:rsid w:val="00944494"/>
    <w:rsid w:val="009444B7"/>
    <w:rsid w:val="00944626"/>
    <w:rsid w:val="00945B07"/>
    <w:rsid w:val="00946333"/>
    <w:rsid w:val="00947908"/>
    <w:rsid w:val="00947A83"/>
    <w:rsid w:val="00947E61"/>
    <w:rsid w:val="009509A9"/>
    <w:rsid w:val="00951104"/>
    <w:rsid w:val="0095142D"/>
    <w:rsid w:val="00952CC8"/>
    <w:rsid w:val="00953315"/>
    <w:rsid w:val="0095366B"/>
    <w:rsid w:val="00954055"/>
    <w:rsid w:val="0095531C"/>
    <w:rsid w:val="00955E97"/>
    <w:rsid w:val="00956C5F"/>
    <w:rsid w:val="009576A6"/>
    <w:rsid w:val="0095797E"/>
    <w:rsid w:val="009608DD"/>
    <w:rsid w:val="00960915"/>
    <w:rsid w:val="00962388"/>
    <w:rsid w:val="009635C8"/>
    <w:rsid w:val="0096418C"/>
    <w:rsid w:val="0096673C"/>
    <w:rsid w:val="009672FB"/>
    <w:rsid w:val="0096758D"/>
    <w:rsid w:val="00967758"/>
    <w:rsid w:val="0097001A"/>
    <w:rsid w:val="0097055A"/>
    <w:rsid w:val="00970F09"/>
    <w:rsid w:val="009719E1"/>
    <w:rsid w:val="00971CC3"/>
    <w:rsid w:val="00971E9D"/>
    <w:rsid w:val="009723C0"/>
    <w:rsid w:val="00972B34"/>
    <w:rsid w:val="00972F4F"/>
    <w:rsid w:val="00973306"/>
    <w:rsid w:val="00973406"/>
    <w:rsid w:val="009737D1"/>
    <w:rsid w:val="00974B9F"/>
    <w:rsid w:val="009751A5"/>
    <w:rsid w:val="0097594F"/>
    <w:rsid w:val="00976676"/>
    <w:rsid w:val="0097722C"/>
    <w:rsid w:val="00977883"/>
    <w:rsid w:val="00977D26"/>
    <w:rsid w:val="009804AB"/>
    <w:rsid w:val="009818A1"/>
    <w:rsid w:val="00981BD6"/>
    <w:rsid w:val="00982C48"/>
    <w:rsid w:val="00985A7B"/>
    <w:rsid w:val="009875E6"/>
    <w:rsid w:val="009877D7"/>
    <w:rsid w:val="00987AB3"/>
    <w:rsid w:val="009904FB"/>
    <w:rsid w:val="00990533"/>
    <w:rsid w:val="00990583"/>
    <w:rsid w:val="009906D6"/>
    <w:rsid w:val="0099089E"/>
    <w:rsid w:val="009910D2"/>
    <w:rsid w:val="00991D8D"/>
    <w:rsid w:val="0099295F"/>
    <w:rsid w:val="00993551"/>
    <w:rsid w:val="00993D90"/>
    <w:rsid w:val="009941CC"/>
    <w:rsid w:val="00994657"/>
    <w:rsid w:val="00994A84"/>
    <w:rsid w:val="00994AC8"/>
    <w:rsid w:val="0099572A"/>
    <w:rsid w:val="009968B6"/>
    <w:rsid w:val="009969E4"/>
    <w:rsid w:val="009971E9"/>
    <w:rsid w:val="009A037E"/>
    <w:rsid w:val="009A10E2"/>
    <w:rsid w:val="009A1390"/>
    <w:rsid w:val="009A176A"/>
    <w:rsid w:val="009A1FA2"/>
    <w:rsid w:val="009A1FFD"/>
    <w:rsid w:val="009A2C49"/>
    <w:rsid w:val="009A3365"/>
    <w:rsid w:val="009A3A6B"/>
    <w:rsid w:val="009A47AD"/>
    <w:rsid w:val="009A4A90"/>
    <w:rsid w:val="009A5E0A"/>
    <w:rsid w:val="009A6741"/>
    <w:rsid w:val="009A7AF3"/>
    <w:rsid w:val="009B055A"/>
    <w:rsid w:val="009B1683"/>
    <w:rsid w:val="009B1D33"/>
    <w:rsid w:val="009B2D91"/>
    <w:rsid w:val="009B3632"/>
    <w:rsid w:val="009B3F72"/>
    <w:rsid w:val="009B4078"/>
    <w:rsid w:val="009B4A7D"/>
    <w:rsid w:val="009B61F8"/>
    <w:rsid w:val="009B70BE"/>
    <w:rsid w:val="009C01C0"/>
    <w:rsid w:val="009C0A72"/>
    <w:rsid w:val="009C0AB9"/>
    <w:rsid w:val="009C0B5A"/>
    <w:rsid w:val="009C0D7D"/>
    <w:rsid w:val="009C1899"/>
    <w:rsid w:val="009C3180"/>
    <w:rsid w:val="009C4172"/>
    <w:rsid w:val="009C4531"/>
    <w:rsid w:val="009C5506"/>
    <w:rsid w:val="009C5A06"/>
    <w:rsid w:val="009C5D76"/>
    <w:rsid w:val="009C60A1"/>
    <w:rsid w:val="009C6955"/>
    <w:rsid w:val="009C69BF"/>
    <w:rsid w:val="009C6A85"/>
    <w:rsid w:val="009C78FE"/>
    <w:rsid w:val="009C7A11"/>
    <w:rsid w:val="009C7CBB"/>
    <w:rsid w:val="009D0DA3"/>
    <w:rsid w:val="009D0E29"/>
    <w:rsid w:val="009D0F69"/>
    <w:rsid w:val="009D0FF6"/>
    <w:rsid w:val="009D191B"/>
    <w:rsid w:val="009D440F"/>
    <w:rsid w:val="009D465E"/>
    <w:rsid w:val="009D467B"/>
    <w:rsid w:val="009D51D3"/>
    <w:rsid w:val="009D6F82"/>
    <w:rsid w:val="009D70DF"/>
    <w:rsid w:val="009D7E05"/>
    <w:rsid w:val="009E12F9"/>
    <w:rsid w:val="009E159E"/>
    <w:rsid w:val="009E1619"/>
    <w:rsid w:val="009E1EAE"/>
    <w:rsid w:val="009E1EEA"/>
    <w:rsid w:val="009E2703"/>
    <w:rsid w:val="009E2AFF"/>
    <w:rsid w:val="009E379E"/>
    <w:rsid w:val="009E4110"/>
    <w:rsid w:val="009E4493"/>
    <w:rsid w:val="009E56BA"/>
    <w:rsid w:val="009E6131"/>
    <w:rsid w:val="009E691F"/>
    <w:rsid w:val="009E726F"/>
    <w:rsid w:val="009E7601"/>
    <w:rsid w:val="009F054E"/>
    <w:rsid w:val="009F074E"/>
    <w:rsid w:val="009F0860"/>
    <w:rsid w:val="009F0BE2"/>
    <w:rsid w:val="009F0E3F"/>
    <w:rsid w:val="009F224E"/>
    <w:rsid w:val="009F2601"/>
    <w:rsid w:val="009F3890"/>
    <w:rsid w:val="009F5E33"/>
    <w:rsid w:val="009F6668"/>
    <w:rsid w:val="009F6BE6"/>
    <w:rsid w:val="009F726C"/>
    <w:rsid w:val="009F75CD"/>
    <w:rsid w:val="009F7F1E"/>
    <w:rsid w:val="00A00018"/>
    <w:rsid w:val="00A003D0"/>
    <w:rsid w:val="00A01149"/>
    <w:rsid w:val="00A013EC"/>
    <w:rsid w:val="00A018B2"/>
    <w:rsid w:val="00A01C3C"/>
    <w:rsid w:val="00A0230E"/>
    <w:rsid w:val="00A02F36"/>
    <w:rsid w:val="00A04420"/>
    <w:rsid w:val="00A04A68"/>
    <w:rsid w:val="00A05419"/>
    <w:rsid w:val="00A0645D"/>
    <w:rsid w:val="00A0694D"/>
    <w:rsid w:val="00A0698A"/>
    <w:rsid w:val="00A10FC5"/>
    <w:rsid w:val="00A11308"/>
    <w:rsid w:val="00A11BCA"/>
    <w:rsid w:val="00A11FE7"/>
    <w:rsid w:val="00A1209E"/>
    <w:rsid w:val="00A138CE"/>
    <w:rsid w:val="00A13C11"/>
    <w:rsid w:val="00A14105"/>
    <w:rsid w:val="00A14333"/>
    <w:rsid w:val="00A14715"/>
    <w:rsid w:val="00A14E0B"/>
    <w:rsid w:val="00A15DA9"/>
    <w:rsid w:val="00A15EE3"/>
    <w:rsid w:val="00A1600A"/>
    <w:rsid w:val="00A16476"/>
    <w:rsid w:val="00A16AE4"/>
    <w:rsid w:val="00A16CED"/>
    <w:rsid w:val="00A213DE"/>
    <w:rsid w:val="00A2152C"/>
    <w:rsid w:val="00A22FCD"/>
    <w:rsid w:val="00A23112"/>
    <w:rsid w:val="00A23790"/>
    <w:rsid w:val="00A24226"/>
    <w:rsid w:val="00A247C6"/>
    <w:rsid w:val="00A25457"/>
    <w:rsid w:val="00A254E2"/>
    <w:rsid w:val="00A25572"/>
    <w:rsid w:val="00A26CA3"/>
    <w:rsid w:val="00A26D77"/>
    <w:rsid w:val="00A26E60"/>
    <w:rsid w:val="00A278CB"/>
    <w:rsid w:val="00A27DEE"/>
    <w:rsid w:val="00A3004A"/>
    <w:rsid w:val="00A3052D"/>
    <w:rsid w:val="00A305BE"/>
    <w:rsid w:val="00A30F41"/>
    <w:rsid w:val="00A318F1"/>
    <w:rsid w:val="00A31A2B"/>
    <w:rsid w:val="00A321C1"/>
    <w:rsid w:val="00A325C7"/>
    <w:rsid w:val="00A32D65"/>
    <w:rsid w:val="00A33180"/>
    <w:rsid w:val="00A335EC"/>
    <w:rsid w:val="00A33D9D"/>
    <w:rsid w:val="00A33F55"/>
    <w:rsid w:val="00A34196"/>
    <w:rsid w:val="00A3441B"/>
    <w:rsid w:val="00A34DCE"/>
    <w:rsid w:val="00A354F5"/>
    <w:rsid w:val="00A358CE"/>
    <w:rsid w:val="00A36105"/>
    <w:rsid w:val="00A3641F"/>
    <w:rsid w:val="00A378D4"/>
    <w:rsid w:val="00A37A7C"/>
    <w:rsid w:val="00A37B13"/>
    <w:rsid w:val="00A40C2B"/>
    <w:rsid w:val="00A40C6C"/>
    <w:rsid w:val="00A412B7"/>
    <w:rsid w:val="00A414DA"/>
    <w:rsid w:val="00A41E78"/>
    <w:rsid w:val="00A42385"/>
    <w:rsid w:val="00A42A1D"/>
    <w:rsid w:val="00A42D6E"/>
    <w:rsid w:val="00A44BE0"/>
    <w:rsid w:val="00A45680"/>
    <w:rsid w:val="00A46ADD"/>
    <w:rsid w:val="00A46B05"/>
    <w:rsid w:val="00A46E53"/>
    <w:rsid w:val="00A47C3F"/>
    <w:rsid w:val="00A50AFD"/>
    <w:rsid w:val="00A50C23"/>
    <w:rsid w:val="00A52322"/>
    <w:rsid w:val="00A5374B"/>
    <w:rsid w:val="00A543D5"/>
    <w:rsid w:val="00A54EED"/>
    <w:rsid w:val="00A550EE"/>
    <w:rsid w:val="00A56CBF"/>
    <w:rsid w:val="00A57504"/>
    <w:rsid w:val="00A57B1B"/>
    <w:rsid w:val="00A6006C"/>
    <w:rsid w:val="00A606F2"/>
    <w:rsid w:val="00A608FC"/>
    <w:rsid w:val="00A61043"/>
    <w:rsid w:val="00A613D0"/>
    <w:rsid w:val="00A6417B"/>
    <w:rsid w:val="00A6442F"/>
    <w:rsid w:val="00A648A3"/>
    <w:rsid w:val="00A64A36"/>
    <w:rsid w:val="00A6532C"/>
    <w:rsid w:val="00A6646C"/>
    <w:rsid w:val="00A66A5B"/>
    <w:rsid w:val="00A6738F"/>
    <w:rsid w:val="00A676DE"/>
    <w:rsid w:val="00A678C0"/>
    <w:rsid w:val="00A705C7"/>
    <w:rsid w:val="00A70AC3"/>
    <w:rsid w:val="00A7144D"/>
    <w:rsid w:val="00A71747"/>
    <w:rsid w:val="00A718BB"/>
    <w:rsid w:val="00A718D5"/>
    <w:rsid w:val="00A724D8"/>
    <w:rsid w:val="00A72F52"/>
    <w:rsid w:val="00A73015"/>
    <w:rsid w:val="00A734E9"/>
    <w:rsid w:val="00A75121"/>
    <w:rsid w:val="00A751AA"/>
    <w:rsid w:val="00A76553"/>
    <w:rsid w:val="00A76C4F"/>
    <w:rsid w:val="00A76E2B"/>
    <w:rsid w:val="00A7794B"/>
    <w:rsid w:val="00A80030"/>
    <w:rsid w:val="00A80FB4"/>
    <w:rsid w:val="00A8114B"/>
    <w:rsid w:val="00A8229F"/>
    <w:rsid w:val="00A82653"/>
    <w:rsid w:val="00A8365D"/>
    <w:rsid w:val="00A837A9"/>
    <w:rsid w:val="00A84BD7"/>
    <w:rsid w:val="00A84CFE"/>
    <w:rsid w:val="00A8569C"/>
    <w:rsid w:val="00A85B2C"/>
    <w:rsid w:val="00A85CE6"/>
    <w:rsid w:val="00A85E66"/>
    <w:rsid w:val="00A87AA8"/>
    <w:rsid w:val="00A903DE"/>
    <w:rsid w:val="00A91172"/>
    <w:rsid w:val="00A91326"/>
    <w:rsid w:val="00A9145A"/>
    <w:rsid w:val="00A914B6"/>
    <w:rsid w:val="00A91F02"/>
    <w:rsid w:val="00A93222"/>
    <w:rsid w:val="00A936BF"/>
    <w:rsid w:val="00A939AB"/>
    <w:rsid w:val="00A9464D"/>
    <w:rsid w:val="00A94699"/>
    <w:rsid w:val="00A9492F"/>
    <w:rsid w:val="00A952E1"/>
    <w:rsid w:val="00A9576E"/>
    <w:rsid w:val="00A958C4"/>
    <w:rsid w:val="00A95FD5"/>
    <w:rsid w:val="00A96599"/>
    <w:rsid w:val="00A96FAC"/>
    <w:rsid w:val="00A97854"/>
    <w:rsid w:val="00AA1A02"/>
    <w:rsid w:val="00AA1DBC"/>
    <w:rsid w:val="00AA2516"/>
    <w:rsid w:val="00AA277C"/>
    <w:rsid w:val="00AA2D49"/>
    <w:rsid w:val="00AA2FB3"/>
    <w:rsid w:val="00AA34AB"/>
    <w:rsid w:val="00AA3623"/>
    <w:rsid w:val="00AA5055"/>
    <w:rsid w:val="00AA52EA"/>
    <w:rsid w:val="00AA5384"/>
    <w:rsid w:val="00AA5529"/>
    <w:rsid w:val="00AA59CF"/>
    <w:rsid w:val="00AA5B0E"/>
    <w:rsid w:val="00AA5B51"/>
    <w:rsid w:val="00AB0AD3"/>
    <w:rsid w:val="00AB0C5C"/>
    <w:rsid w:val="00AB0D18"/>
    <w:rsid w:val="00AB1CEC"/>
    <w:rsid w:val="00AB2934"/>
    <w:rsid w:val="00AB2B9D"/>
    <w:rsid w:val="00AB38C8"/>
    <w:rsid w:val="00AB48FD"/>
    <w:rsid w:val="00AB4978"/>
    <w:rsid w:val="00AB4BF3"/>
    <w:rsid w:val="00AB60B2"/>
    <w:rsid w:val="00AB6771"/>
    <w:rsid w:val="00AB723B"/>
    <w:rsid w:val="00AB7BE5"/>
    <w:rsid w:val="00AC00B6"/>
    <w:rsid w:val="00AC00C6"/>
    <w:rsid w:val="00AC0EDA"/>
    <w:rsid w:val="00AC13A5"/>
    <w:rsid w:val="00AC1F75"/>
    <w:rsid w:val="00AC202C"/>
    <w:rsid w:val="00AC3D1B"/>
    <w:rsid w:val="00AC42C9"/>
    <w:rsid w:val="00AC574A"/>
    <w:rsid w:val="00AC64B8"/>
    <w:rsid w:val="00AC7AC8"/>
    <w:rsid w:val="00AC7C74"/>
    <w:rsid w:val="00AC7DF1"/>
    <w:rsid w:val="00AD06F2"/>
    <w:rsid w:val="00AD0956"/>
    <w:rsid w:val="00AD0A51"/>
    <w:rsid w:val="00AD38FB"/>
    <w:rsid w:val="00AD48E3"/>
    <w:rsid w:val="00AD4A98"/>
    <w:rsid w:val="00AD4CFA"/>
    <w:rsid w:val="00AD63C6"/>
    <w:rsid w:val="00AD6574"/>
    <w:rsid w:val="00AD71C7"/>
    <w:rsid w:val="00AD7317"/>
    <w:rsid w:val="00AE188E"/>
    <w:rsid w:val="00AE1B4B"/>
    <w:rsid w:val="00AE2DD7"/>
    <w:rsid w:val="00AE2E2A"/>
    <w:rsid w:val="00AE35DB"/>
    <w:rsid w:val="00AE366A"/>
    <w:rsid w:val="00AE4142"/>
    <w:rsid w:val="00AE68A4"/>
    <w:rsid w:val="00AE6CD3"/>
    <w:rsid w:val="00AE6F31"/>
    <w:rsid w:val="00AE7544"/>
    <w:rsid w:val="00AF0726"/>
    <w:rsid w:val="00AF1CFD"/>
    <w:rsid w:val="00AF2030"/>
    <w:rsid w:val="00AF2208"/>
    <w:rsid w:val="00AF256A"/>
    <w:rsid w:val="00AF25D2"/>
    <w:rsid w:val="00AF3225"/>
    <w:rsid w:val="00AF41C4"/>
    <w:rsid w:val="00AF4347"/>
    <w:rsid w:val="00AF49DA"/>
    <w:rsid w:val="00AF4E34"/>
    <w:rsid w:val="00AF6368"/>
    <w:rsid w:val="00AF683C"/>
    <w:rsid w:val="00AF7504"/>
    <w:rsid w:val="00B00346"/>
    <w:rsid w:val="00B0068B"/>
    <w:rsid w:val="00B009DA"/>
    <w:rsid w:val="00B011D4"/>
    <w:rsid w:val="00B0133D"/>
    <w:rsid w:val="00B01BBA"/>
    <w:rsid w:val="00B01DFE"/>
    <w:rsid w:val="00B02080"/>
    <w:rsid w:val="00B021FF"/>
    <w:rsid w:val="00B025E6"/>
    <w:rsid w:val="00B02AEB"/>
    <w:rsid w:val="00B02E8A"/>
    <w:rsid w:val="00B03153"/>
    <w:rsid w:val="00B04E29"/>
    <w:rsid w:val="00B04F18"/>
    <w:rsid w:val="00B0572D"/>
    <w:rsid w:val="00B06C26"/>
    <w:rsid w:val="00B10171"/>
    <w:rsid w:val="00B10A4B"/>
    <w:rsid w:val="00B10DFB"/>
    <w:rsid w:val="00B1223B"/>
    <w:rsid w:val="00B122D3"/>
    <w:rsid w:val="00B123D0"/>
    <w:rsid w:val="00B12640"/>
    <w:rsid w:val="00B12B8A"/>
    <w:rsid w:val="00B13202"/>
    <w:rsid w:val="00B135DE"/>
    <w:rsid w:val="00B135FF"/>
    <w:rsid w:val="00B13915"/>
    <w:rsid w:val="00B16B0A"/>
    <w:rsid w:val="00B1744D"/>
    <w:rsid w:val="00B1776C"/>
    <w:rsid w:val="00B177B5"/>
    <w:rsid w:val="00B17D5E"/>
    <w:rsid w:val="00B17DD0"/>
    <w:rsid w:val="00B17E76"/>
    <w:rsid w:val="00B20014"/>
    <w:rsid w:val="00B20710"/>
    <w:rsid w:val="00B20965"/>
    <w:rsid w:val="00B20A5D"/>
    <w:rsid w:val="00B20B20"/>
    <w:rsid w:val="00B21D2A"/>
    <w:rsid w:val="00B2274B"/>
    <w:rsid w:val="00B22B12"/>
    <w:rsid w:val="00B23110"/>
    <w:rsid w:val="00B23283"/>
    <w:rsid w:val="00B23A21"/>
    <w:rsid w:val="00B23B70"/>
    <w:rsid w:val="00B25462"/>
    <w:rsid w:val="00B2650A"/>
    <w:rsid w:val="00B2675D"/>
    <w:rsid w:val="00B26FBA"/>
    <w:rsid w:val="00B3012E"/>
    <w:rsid w:val="00B30D8D"/>
    <w:rsid w:val="00B31401"/>
    <w:rsid w:val="00B31AA3"/>
    <w:rsid w:val="00B3219D"/>
    <w:rsid w:val="00B329B7"/>
    <w:rsid w:val="00B32BA5"/>
    <w:rsid w:val="00B32FC4"/>
    <w:rsid w:val="00B3380A"/>
    <w:rsid w:val="00B3389C"/>
    <w:rsid w:val="00B3465C"/>
    <w:rsid w:val="00B349A6"/>
    <w:rsid w:val="00B353E5"/>
    <w:rsid w:val="00B3574C"/>
    <w:rsid w:val="00B35862"/>
    <w:rsid w:val="00B364FB"/>
    <w:rsid w:val="00B37E12"/>
    <w:rsid w:val="00B4167D"/>
    <w:rsid w:val="00B42ACA"/>
    <w:rsid w:val="00B432DD"/>
    <w:rsid w:val="00B43503"/>
    <w:rsid w:val="00B43DE3"/>
    <w:rsid w:val="00B443C4"/>
    <w:rsid w:val="00B44F1E"/>
    <w:rsid w:val="00B456D1"/>
    <w:rsid w:val="00B45B1B"/>
    <w:rsid w:val="00B4683C"/>
    <w:rsid w:val="00B46B68"/>
    <w:rsid w:val="00B46E39"/>
    <w:rsid w:val="00B47366"/>
    <w:rsid w:val="00B473F6"/>
    <w:rsid w:val="00B474C2"/>
    <w:rsid w:val="00B47A36"/>
    <w:rsid w:val="00B47D3C"/>
    <w:rsid w:val="00B5065A"/>
    <w:rsid w:val="00B50CF3"/>
    <w:rsid w:val="00B514B2"/>
    <w:rsid w:val="00B5193C"/>
    <w:rsid w:val="00B521E7"/>
    <w:rsid w:val="00B5474B"/>
    <w:rsid w:val="00B547AB"/>
    <w:rsid w:val="00B54ECB"/>
    <w:rsid w:val="00B54F08"/>
    <w:rsid w:val="00B5566E"/>
    <w:rsid w:val="00B55A85"/>
    <w:rsid w:val="00B574A1"/>
    <w:rsid w:val="00B574D0"/>
    <w:rsid w:val="00B577C3"/>
    <w:rsid w:val="00B57E8A"/>
    <w:rsid w:val="00B57F59"/>
    <w:rsid w:val="00B600C4"/>
    <w:rsid w:val="00B6048F"/>
    <w:rsid w:val="00B617E5"/>
    <w:rsid w:val="00B6216B"/>
    <w:rsid w:val="00B624FB"/>
    <w:rsid w:val="00B62A33"/>
    <w:rsid w:val="00B633D1"/>
    <w:rsid w:val="00B639CF"/>
    <w:rsid w:val="00B64613"/>
    <w:rsid w:val="00B64E7A"/>
    <w:rsid w:val="00B6572B"/>
    <w:rsid w:val="00B65993"/>
    <w:rsid w:val="00B65EFD"/>
    <w:rsid w:val="00B66680"/>
    <w:rsid w:val="00B66F83"/>
    <w:rsid w:val="00B674CD"/>
    <w:rsid w:val="00B67AC2"/>
    <w:rsid w:val="00B70194"/>
    <w:rsid w:val="00B70EBD"/>
    <w:rsid w:val="00B71858"/>
    <w:rsid w:val="00B726E6"/>
    <w:rsid w:val="00B72F57"/>
    <w:rsid w:val="00B7313D"/>
    <w:rsid w:val="00B738E1"/>
    <w:rsid w:val="00B746C5"/>
    <w:rsid w:val="00B7478F"/>
    <w:rsid w:val="00B74F65"/>
    <w:rsid w:val="00B74F8B"/>
    <w:rsid w:val="00B75525"/>
    <w:rsid w:val="00B759B3"/>
    <w:rsid w:val="00B76BF5"/>
    <w:rsid w:val="00B76CBE"/>
    <w:rsid w:val="00B76CF1"/>
    <w:rsid w:val="00B77319"/>
    <w:rsid w:val="00B77383"/>
    <w:rsid w:val="00B77453"/>
    <w:rsid w:val="00B8033A"/>
    <w:rsid w:val="00B80821"/>
    <w:rsid w:val="00B81070"/>
    <w:rsid w:val="00B81836"/>
    <w:rsid w:val="00B82A35"/>
    <w:rsid w:val="00B82DAB"/>
    <w:rsid w:val="00B83040"/>
    <w:rsid w:val="00B8318E"/>
    <w:rsid w:val="00B832A8"/>
    <w:rsid w:val="00B83429"/>
    <w:rsid w:val="00B8544C"/>
    <w:rsid w:val="00B85FC0"/>
    <w:rsid w:val="00B864A2"/>
    <w:rsid w:val="00B86D19"/>
    <w:rsid w:val="00B86DC3"/>
    <w:rsid w:val="00B86DC5"/>
    <w:rsid w:val="00B87BF6"/>
    <w:rsid w:val="00B87D16"/>
    <w:rsid w:val="00B90196"/>
    <w:rsid w:val="00B9143C"/>
    <w:rsid w:val="00B91935"/>
    <w:rsid w:val="00B91B0C"/>
    <w:rsid w:val="00B91F21"/>
    <w:rsid w:val="00B922F9"/>
    <w:rsid w:val="00B923AC"/>
    <w:rsid w:val="00B92ADF"/>
    <w:rsid w:val="00B94F42"/>
    <w:rsid w:val="00B952F0"/>
    <w:rsid w:val="00B95C19"/>
    <w:rsid w:val="00B960BF"/>
    <w:rsid w:val="00B96D6E"/>
    <w:rsid w:val="00B979E3"/>
    <w:rsid w:val="00B97CED"/>
    <w:rsid w:val="00BA0109"/>
    <w:rsid w:val="00BA0463"/>
    <w:rsid w:val="00BA261A"/>
    <w:rsid w:val="00BA2760"/>
    <w:rsid w:val="00BA29F2"/>
    <w:rsid w:val="00BA3554"/>
    <w:rsid w:val="00BA3A2F"/>
    <w:rsid w:val="00BA3DF0"/>
    <w:rsid w:val="00BA4DEB"/>
    <w:rsid w:val="00BA5844"/>
    <w:rsid w:val="00BB0B8B"/>
    <w:rsid w:val="00BB0E5E"/>
    <w:rsid w:val="00BB1681"/>
    <w:rsid w:val="00BB1A04"/>
    <w:rsid w:val="00BB1F9A"/>
    <w:rsid w:val="00BB2F77"/>
    <w:rsid w:val="00BB371B"/>
    <w:rsid w:val="00BB3AB8"/>
    <w:rsid w:val="00BB3EC9"/>
    <w:rsid w:val="00BB44E6"/>
    <w:rsid w:val="00BB4911"/>
    <w:rsid w:val="00BB4960"/>
    <w:rsid w:val="00BB589D"/>
    <w:rsid w:val="00BB73ED"/>
    <w:rsid w:val="00BB74D2"/>
    <w:rsid w:val="00BC0709"/>
    <w:rsid w:val="00BC0B2B"/>
    <w:rsid w:val="00BC0ED5"/>
    <w:rsid w:val="00BC12B0"/>
    <w:rsid w:val="00BC1D17"/>
    <w:rsid w:val="00BC2849"/>
    <w:rsid w:val="00BC32E8"/>
    <w:rsid w:val="00BC3CD9"/>
    <w:rsid w:val="00BC3FC5"/>
    <w:rsid w:val="00BC5306"/>
    <w:rsid w:val="00BC5639"/>
    <w:rsid w:val="00BC5731"/>
    <w:rsid w:val="00BC6C81"/>
    <w:rsid w:val="00BC77CA"/>
    <w:rsid w:val="00BC7E70"/>
    <w:rsid w:val="00BD0C23"/>
    <w:rsid w:val="00BD18CA"/>
    <w:rsid w:val="00BD2F7F"/>
    <w:rsid w:val="00BD356B"/>
    <w:rsid w:val="00BD3865"/>
    <w:rsid w:val="00BD40B3"/>
    <w:rsid w:val="00BD43FA"/>
    <w:rsid w:val="00BD4850"/>
    <w:rsid w:val="00BD4C89"/>
    <w:rsid w:val="00BD4F6F"/>
    <w:rsid w:val="00BD5489"/>
    <w:rsid w:val="00BD5DE1"/>
    <w:rsid w:val="00BD662F"/>
    <w:rsid w:val="00BE0644"/>
    <w:rsid w:val="00BE0989"/>
    <w:rsid w:val="00BE139A"/>
    <w:rsid w:val="00BE2540"/>
    <w:rsid w:val="00BE3AEF"/>
    <w:rsid w:val="00BE3DB0"/>
    <w:rsid w:val="00BE3F24"/>
    <w:rsid w:val="00BE3F6A"/>
    <w:rsid w:val="00BE5E52"/>
    <w:rsid w:val="00BE73BC"/>
    <w:rsid w:val="00BF01E3"/>
    <w:rsid w:val="00BF02DA"/>
    <w:rsid w:val="00BF0802"/>
    <w:rsid w:val="00BF0881"/>
    <w:rsid w:val="00BF1599"/>
    <w:rsid w:val="00BF1C26"/>
    <w:rsid w:val="00BF2E28"/>
    <w:rsid w:val="00BF3711"/>
    <w:rsid w:val="00BF53BA"/>
    <w:rsid w:val="00BF5902"/>
    <w:rsid w:val="00BF5C85"/>
    <w:rsid w:val="00BF7E81"/>
    <w:rsid w:val="00C000D2"/>
    <w:rsid w:val="00C00573"/>
    <w:rsid w:val="00C0103D"/>
    <w:rsid w:val="00C01BA1"/>
    <w:rsid w:val="00C01D2E"/>
    <w:rsid w:val="00C02ABA"/>
    <w:rsid w:val="00C02E80"/>
    <w:rsid w:val="00C03181"/>
    <w:rsid w:val="00C039D7"/>
    <w:rsid w:val="00C06D87"/>
    <w:rsid w:val="00C07A2C"/>
    <w:rsid w:val="00C1097C"/>
    <w:rsid w:val="00C119EA"/>
    <w:rsid w:val="00C1211C"/>
    <w:rsid w:val="00C1236E"/>
    <w:rsid w:val="00C124F8"/>
    <w:rsid w:val="00C13A90"/>
    <w:rsid w:val="00C14062"/>
    <w:rsid w:val="00C144F0"/>
    <w:rsid w:val="00C14572"/>
    <w:rsid w:val="00C15A29"/>
    <w:rsid w:val="00C1715A"/>
    <w:rsid w:val="00C20982"/>
    <w:rsid w:val="00C22580"/>
    <w:rsid w:val="00C226C5"/>
    <w:rsid w:val="00C22B9F"/>
    <w:rsid w:val="00C2403C"/>
    <w:rsid w:val="00C242BE"/>
    <w:rsid w:val="00C2450B"/>
    <w:rsid w:val="00C247B5"/>
    <w:rsid w:val="00C2482D"/>
    <w:rsid w:val="00C251B7"/>
    <w:rsid w:val="00C25BFD"/>
    <w:rsid w:val="00C269EE"/>
    <w:rsid w:val="00C27297"/>
    <w:rsid w:val="00C30633"/>
    <w:rsid w:val="00C31013"/>
    <w:rsid w:val="00C318DB"/>
    <w:rsid w:val="00C31ED8"/>
    <w:rsid w:val="00C32062"/>
    <w:rsid w:val="00C32485"/>
    <w:rsid w:val="00C32615"/>
    <w:rsid w:val="00C33313"/>
    <w:rsid w:val="00C33986"/>
    <w:rsid w:val="00C33B53"/>
    <w:rsid w:val="00C33CCC"/>
    <w:rsid w:val="00C33F9E"/>
    <w:rsid w:val="00C343C2"/>
    <w:rsid w:val="00C3490E"/>
    <w:rsid w:val="00C356E2"/>
    <w:rsid w:val="00C3575E"/>
    <w:rsid w:val="00C3608F"/>
    <w:rsid w:val="00C37061"/>
    <w:rsid w:val="00C40D91"/>
    <w:rsid w:val="00C41410"/>
    <w:rsid w:val="00C41768"/>
    <w:rsid w:val="00C418F1"/>
    <w:rsid w:val="00C4266D"/>
    <w:rsid w:val="00C42CD1"/>
    <w:rsid w:val="00C431FA"/>
    <w:rsid w:val="00C441D5"/>
    <w:rsid w:val="00C4491B"/>
    <w:rsid w:val="00C45427"/>
    <w:rsid w:val="00C45C93"/>
    <w:rsid w:val="00C46D3F"/>
    <w:rsid w:val="00C50DB8"/>
    <w:rsid w:val="00C511D9"/>
    <w:rsid w:val="00C517DB"/>
    <w:rsid w:val="00C51A34"/>
    <w:rsid w:val="00C521D4"/>
    <w:rsid w:val="00C5274C"/>
    <w:rsid w:val="00C5282D"/>
    <w:rsid w:val="00C52BD9"/>
    <w:rsid w:val="00C5351D"/>
    <w:rsid w:val="00C54046"/>
    <w:rsid w:val="00C54C03"/>
    <w:rsid w:val="00C54CDF"/>
    <w:rsid w:val="00C550C6"/>
    <w:rsid w:val="00C558DB"/>
    <w:rsid w:val="00C55E7E"/>
    <w:rsid w:val="00C560AC"/>
    <w:rsid w:val="00C56657"/>
    <w:rsid w:val="00C56E40"/>
    <w:rsid w:val="00C573A9"/>
    <w:rsid w:val="00C57F8C"/>
    <w:rsid w:val="00C6018F"/>
    <w:rsid w:val="00C60A14"/>
    <w:rsid w:val="00C61661"/>
    <w:rsid w:val="00C617C0"/>
    <w:rsid w:val="00C6191D"/>
    <w:rsid w:val="00C62FAB"/>
    <w:rsid w:val="00C6338C"/>
    <w:rsid w:val="00C63C9F"/>
    <w:rsid w:val="00C6455E"/>
    <w:rsid w:val="00C65733"/>
    <w:rsid w:val="00C6618E"/>
    <w:rsid w:val="00C662C9"/>
    <w:rsid w:val="00C664F4"/>
    <w:rsid w:val="00C66B8E"/>
    <w:rsid w:val="00C67350"/>
    <w:rsid w:val="00C674E0"/>
    <w:rsid w:val="00C67817"/>
    <w:rsid w:val="00C67851"/>
    <w:rsid w:val="00C705F6"/>
    <w:rsid w:val="00C7070B"/>
    <w:rsid w:val="00C70748"/>
    <w:rsid w:val="00C7098A"/>
    <w:rsid w:val="00C70A4B"/>
    <w:rsid w:val="00C7156C"/>
    <w:rsid w:val="00C71C22"/>
    <w:rsid w:val="00C72FB7"/>
    <w:rsid w:val="00C73230"/>
    <w:rsid w:val="00C73282"/>
    <w:rsid w:val="00C73414"/>
    <w:rsid w:val="00C7479F"/>
    <w:rsid w:val="00C74A5D"/>
    <w:rsid w:val="00C7512E"/>
    <w:rsid w:val="00C75940"/>
    <w:rsid w:val="00C75BE9"/>
    <w:rsid w:val="00C7783E"/>
    <w:rsid w:val="00C77F6F"/>
    <w:rsid w:val="00C8059C"/>
    <w:rsid w:val="00C80C9A"/>
    <w:rsid w:val="00C81275"/>
    <w:rsid w:val="00C81962"/>
    <w:rsid w:val="00C82721"/>
    <w:rsid w:val="00C82BBF"/>
    <w:rsid w:val="00C8364C"/>
    <w:rsid w:val="00C83829"/>
    <w:rsid w:val="00C83C72"/>
    <w:rsid w:val="00C84789"/>
    <w:rsid w:val="00C85243"/>
    <w:rsid w:val="00C853A5"/>
    <w:rsid w:val="00C866A7"/>
    <w:rsid w:val="00C86817"/>
    <w:rsid w:val="00C86AC8"/>
    <w:rsid w:val="00C876C4"/>
    <w:rsid w:val="00C90472"/>
    <w:rsid w:val="00C90506"/>
    <w:rsid w:val="00C906D9"/>
    <w:rsid w:val="00C912E0"/>
    <w:rsid w:val="00C917EE"/>
    <w:rsid w:val="00C91A12"/>
    <w:rsid w:val="00C924A9"/>
    <w:rsid w:val="00C92589"/>
    <w:rsid w:val="00C92D26"/>
    <w:rsid w:val="00C92D81"/>
    <w:rsid w:val="00C92F4E"/>
    <w:rsid w:val="00C934A7"/>
    <w:rsid w:val="00C9377D"/>
    <w:rsid w:val="00C942AA"/>
    <w:rsid w:val="00C946A5"/>
    <w:rsid w:val="00C95A2C"/>
    <w:rsid w:val="00C95F11"/>
    <w:rsid w:val="00C960CB"/>
    <w:rsid w:val="00C963C9"/>
    <w:rsid w:val="00C96E3D"/>
    <w:rsid w:val="00C973F7"/>
    <w:rsid w:val="00CA06D3"/>
    <w:rsid w:val="00CA0ECA"/>
    <w:rsid w:val="00CA220E"/>
    <w:rsid w:val="00CA293E"/>
    <w:rsid w:val="00CA2CF2"/>
    <w:rsid w:val="00CA2D4D"/>
    <w:rsid w:val="00CA3A93"/>
    <w:rsid w:val="00CA3FEF"/>
    <w:rsid w:val="00CA405B"/>
    <w:rsid w:val="00CA4179"/>
    <w:rsid w:val="00CA4857"/>
    <w:rsid w:val="00CA6169"/>
    <w:rsid w:val="00CA6859"/>
    <w:rsid w:val="00CA6BB2"/>
    <w:rsid w:val="00CA722A"/>
    <w:rsid w:val="00CA78D2"/>
    <w:rsid w:val="00CB2407"/>
    <w:rsid w:val="00CB2595"/>
    <w:rsid w:val="00CB40CD"/>
    <w:rsid w:val="00CB43F8"/>
    <w:rsid w:val="00CB4F48"/>
    <w:rsid w:val="00CB5E1D"/>
    <w:rsid w:val="00CB5EFD"/>
    <w:rsid w:val="00CB6307"/>
    <w:rsid w:val="00CB69D6"/>
    <w:rsid w:val="00CB6AE7"/>
    <w:rsid w:val="00CC07BC"/>
    <w:rsid w:val="00CC08F4"/>
    <w:rsid w:val="00CC0D5A"/>
    <w:rsid w:val="00CC0E9B"/>
    <w:rsid w:val="00CC19EA"/>
    <w:rsid w:val="00CC2261"/>
    <w:rsid w:val="00CC2607"/>
    <w:rsid w:val="00CC2D89"/>
    <w:rsid w:val="00CC3A06"/>
    <w:rsid w:val="00CC3CCB"/>
    <w:rsid w:val="00CC3D3A"/>
    <w:rsid w:val="00CC4580"/>
    <w:rsid w:val="00CC469D"/>
    <w:rsid w:val="00CC4F3E"/>
    <w:rsid w:val="00CC4FD2"/>
    <w:rsid w:val="00CC54B7"/>
    <w:rsid w:val="00CC6042"/>
    <w:rsid w:val="00CC6108"/>
    <w:rsid w:val="00CD0FC0"/>
    <w:rsid w:val="00CD1056"/>
    <w:rsid w:val="00CD13B2"/>
    <w:rsid w:val="00CD1687"/>
    <w:rsid w:val="00CD23AF"/>
    <w:rsid w:val="00CD3850"/>
    <w:rsid w:val="00CD3F07"/>
    <w:rsid w:val="00CD4382"/>
    <w:rsid w:val="00CD44F7"/>
    <w:rsid w:val="00CD4F82"/>
    <w:rsid w:val="00CD5A10"/>
    <w:rsid w:val="00CD716F"/>
    <w:rsid w:val="00CD7A12"/>
    <w:rsid w:val="00CD7B37"/>
    <w:rsid w:val="00CE0F03"/>
    <w:rsid w:val="00CE20A8"/>
    <w:rsid w:val="00CE24C0"/>
    <w:rsid w:val="00CE2ADF"/>
    <w:rsid w:val="00CE2E37"/>
    <w:rsid w:val="00CE48B2"/>
    <w:rsid w:val="00CE5E40"/>
    <w:rsid w:val="00CE6C5A"/>
    <w:rsid w:val="00CE6C5F"/>
    <w:rsid w:val="00CE74D8"/>
    <w:rsid w:val="00CE7F6D"/>
    <w:rsid w:val="00CF02AA"/>
    <w:rsid w:val="00CF0FB6"/>
    <w:rsid w:val="00CF1A98"/>
    <w:rsid w:val="00CF1AD7"/>
    <w:rsid w:val="00CF1EE0"/>
    <w:rsid w:val="00CF1F77"/>
    <w:rsid w:val="00CF2213"/>
    <w:rsid w:val="00CF262F"/>
    <w:rsid w:val="00CF30EE"/>
    <w:rsid w:val="00CF3633"/>
    <w:rsid w:val="00CF3C46"/>
    <w:rsid w:val="00CF4183"/>
    <w:rsid w:val="00CF476D"/>
    <w:rsid w:val="00CF4D36"/>
    <w:rsid w:val="00CF5286"/>
    <w:rsid w:val="00CF5D68"/>
    <w:rsid w:val="00CF61BE"/>
    <w:rsid w:val="00CF62EE"/>
    <w:rsid w:val="00CF6694"/>
    <w:rsid w:val="00CF6BDC"/>
    <w:rsid w:val="00CF7527"/>
    <w:rsid w:val="00CF7834"/>
    <w:rsid w:val="00CF7876"/>
    <w:rsid w:val="00CF7E9A"/>
    <w:rsid w:val="00D00BCD"/>
    <w:rsid w:val="00D014B7"/>
    <w:rsid w:val="00D01654"/>
    <w:rsid w:val="00D01A0B"/>
    <w:rsid w:val="00D02343"/>
    <w:rsid w:val="00D027A9"/>
    <w:rsid w:val="00D0294E"/>
    <w:rsid w:val="00D02A93"/>
    <w:rsid w:val="00D04034"/>
    <w:rsid w:val="00D04F97"/>
    <w:rsid w:val="00D05440"/>
    <w:rsid w:val="00D0569C"/>
    <w:rsid w:val="00D0598D"/>
    <w:rsid w:val="00D05BD3"/>
    <w:rsid w:val="00D066AE"/>
    <w:rsid w:val="00D06775"/>
    <w:rsid w:val="00D07A0E"/>
    <w:rsid w:val="00D07FE6"/>
    <w:rsid w:val="00D10116"/>
    <w:rsid w:val="00D10751"/>
    <w:rsid w:val="00D1185A"/>
    <w:rsid w:val="00D12ACD"/>
    <w:rsid w:val="00D13632"/>
    <w:rsid w:val="00D143FB"/>
    <w:rsid w:val="00D1465A"/>
    <w:rsid w:val="00D14747"/>
    <w:rsid w:val="00D153F7"/>
    <w:rsid w:val="00D1589C"/>
    <w:rsid w:val="00D15BFD"/>
    <w:rsid w:val="00D161C3"/>
    <w:rsid w:val="00D167E8"/>
    <w:rsid w:val="00D16851"/>
    <w:rsid w:val="00D16AC7"/>
    <w:rsid w:val="00D16DEF"/>
    <w:rsid w:val="00D17851"/>
    <w:rsid w:val="00D2009A"/>
    <w:rsid w:val="00D216E0"/>
    <w:rsid w:val="00D21E4D"/>
    <w:rsid w:val="00D229C9"/>
    <w:rsid w:val="00D22E1A"/>
    <w:rsid w:val="00D23974"/>
    <w:rsid w:val="00D23E2C"/>
    <w:rsid w:val="00D23EA9"/>
    <w:rsid w:val="00D24B24"/>
    <w:rsid w:val="00D24ED2"/>
    <w:rsid w:val="00D25D53"/>
    <w:rsid w:val="00D26726"/>
    <w:rsid w:val="00D272CB"/>
    <w:rsid w:val="00D273B6"/>
    <w:rsid w:val="00D3169E"/>
    <w:rsid w:val="00D31BD7"/>
    <w:rsid w:val="00D327CA"/>
    <w:rsid w:val="00D328CF"/>
    <w:rsid w:val="00D32A54"/>
    <w:rsid w:val="00D32CE9"/>
    <w:rsid w:val="00D33336"/>
    <w:rsid w:val="00D33EBB"/>
    <w:rsid w:val="00D34C8D"/>
    <w:rsid w:val="00D34F54"/>
    <w:rsid w:val="00D351D1"/>
    <w:rsid w:val="00D35BCA"/>
    <w:rsid w:val="00D35C77"/>
    <w:rsid w:val="00D36F9A"/>
    <w:rsid w:val="00D40354"/>
    <w:rsid w:val="00D407F2"/>
    <w:rsid w:val="00D4206F"/>
    <w:rsid w:val="00D424EC"/>
    <w:rsid w:val="00D4288A"/>
    <w:rsid w:val="00D42E08"/>
    <w:rsid w:val="00D4326C"/>
    <w:rsid w:val="00D432DA"/>
    <w:rsid w:val="00D44945"/>
    <w:rsid w:val="00D44972"/>
    <w:rsid w:val="00D44D29"/>
    <w:rsid w:val="00D44D9B"/>
    <w:rsid w:val="00D464A5"/>
    <w:rsid w:val="00D46580"/>
    <w:rsid w:val="00D47889"/>
    <w:rsid w:val="00D47D2D"/>
    <w:rsid w:val="00D47E8D"/>
    <w:rsid w:val="00D501EE"/>
    <w:rsid w:val="00D50606"/>
    <w:rsid w:val="00D5095D"/>
    <w:rsid w:val="00D512A2"/>
    <w:rsid w:val="00D51E81"/>
    <w:rsid w:val="00D52BAD"/>
    <w:rsid w:val="00D547D0"/>
    <w:rsid w:val="00D54ECB"/>
    <w:rsid w:val="00D568F0"/>
    <w:rsid w:val="00D56C95"/>
    <w:rsid w:val="00D56D67"/>
    <w:rsid w:val="00D56F5A"/>
    <w:rsid w:val="00D57239"/>
    <w:rsid w:val="00D572AB"/>
    <w:rsid w:val="00D5762A"/>
    <w:rsid w:val="00D603B5"/>
    <w:rsid w:val="00D603CE"/>
    <w:rsid w:val="00D632DF"/>
    <w:rsid w:val="00D63766"/>
    <w:rsid w:val="00D64336"/>
    <w:rsid w:val="00D64398"/>
    <w:rsid w:val="00D65215"/>
    <w:rsid w:val="00D65C79"/>
    <w:rsid w:val="00D6607D"/>
    <w:rsid w:val="00D664F1"/>
    <w:rsid w:val="00D66846"/>
    <w:rsid w:val="00D66EE1"/>
    <w:rsid w:val="00D66F24"/>
    <w:rsid w:val="00D66F73"/>
    <w:rsid w:val="00D67806"/>
    <w:rsid w:val="00D700A6"/>
    <w:rsid w:val="00D704C1"/>
    <w:rsid w:val="00D704D1"/>
    <w:rsid w:val="00D70AD9"/>
    <w:rsid w:val="00D7105C"/>
    <w:rsid w:val="00D71738"/>
    <w:rsid w:val="00D7198C"/>
    <w:rsid w:val="00D72519"/>
    <w:rsid w:val="00D72814"/>
    <w:rsid w:val="00D72A2F"/>
    <w:rsid w:val="00D72E83"/>
    <w:rsid w:val="00D7398C"/>
    <w:rsid w:val="00D73A39"/>
    <w:rsid w:val="00D74227"/>
    <w:rsid w:val="00D746ED"/>
    <w:rsid w:val="00D74710"/>
    <w:rsid w:val="00D762A4"/>
    <w:rsid w:val="00D7640B"/>
    <w:rsid w:val="00D7686E"/>
    <w:rsid w:val="00D768C9"/>
    <w:rsid w:val="00D77220"/>
    <w:rsid w:val="00D776FD"/>
    <w:rsid w:val="00D777C6"/>
    <w:rsid w:val="00D7783A"/>
    <w:rsid w:val="00D8064F"/>
    <w:rsid w:val="00D81419"/>
    <w:rsid w:val="00D81F01"/>
    <w:rsid w:val="00D82672"/>
    <w:rsid w:val="00D83823"/>
    <w:rsid w:val="00D84734"/>
    <w:rsid w:val="00D84FEC"/>
    <w:rsid w:val="00D85CC4"/>
    <w:rsid w:val="00D86815"/>
    <w:rsid w:val="00D87AC2"/>
    <w:rsid w:val="00D90B54"/>
    <w:rsid w:val="00D9183C"/>
    <w:rsid w:val="00D91EFD"/>
    <w:rsid w:val="00D92743"/>
    <w:rsid w:val="00D927CA"/>
    <w:rsid w:val="00D92BF8"/>
    <w:rsid w:val="00D92E8E"/>
    <w:rsid w:val="00D92F48"/>
    <w:rsid w:val="00D93116"/>
    <w:rsid w:val="00D93B21"/>
    <w:rsid w:val="00D93B6F"/>
    <w:rsid w:val="00D94653"/>
    <w:rsid w:val="00D94AD7"/>
    <w:rsid w:val="00D950DD"/>
    <w:rsid w:val="00D950EA"/>
    <w:rsid w:val="00D95833"/>
    <w:rsid w:val="00D9628C"/>
    <w:rsid w:val="00D9652F"/>
    <w:rsid w:val="00D97241"/>
    <w:rsid w:val="00D97748"/>
    <w:rsid w:val="00DA009C"/>
    <w:rsid w:val="00DA1B51"/>
    <w:rsid w:val="00DA1CEC"/>
    <w:rsid w:val="00DA20AA"/>
    <w:rsid w:val="00DA21B7"/>
    <w:rsid w:val="00DA23DE"/>
    <w:rsid w:val="00DA2563"/>
    <w:rsid w:val="00DA2A9B"/>
    <w:rsid w:val="00DA2D76"/>
    <w:rsid w:val="00DA2D99"/>
    <w:rsid w:val="00DA2DF7"/>
    <w:rsid w:val="00DA3C87"/>
    <w:rsid w:val="00DA47C3"/>
    <w:rsid w:val="00DA5790"/>
    <w:rsid w:val="00DA6F3A"/>
    <w:rsid w:val="00DA72F6"/>
    <w:rsid w:val="00DA7320"/>
    <w:rsid w:val="00DA777E"/>
    <w:rsid w:val="00DA7C53"/>
    <w:rsid w:val="00DA7FDD"/>
    <w:rsid w:val="00DB14AE"/>
    <w:rsid w:val="00DB16C7"/>
    <w:rsid w:val="00DB1DB8"/>
    <w:rsid w:val="00DB4250"/>
    <w:rsid w:val="00DB43E4"/>
    <w:rsid w:val="00DB57C1"/>
    <w:rsid w:val="00DB64BA"/>
    <w:rsid w:val="00DB673B"/>
    <w:rsid w:val="00DB7975"/>
    <w:rsid w:val="00DB7E94"/>
    <w:rsid w:val="00DC08A3"/>
    <w:rsid w:val="00DC0CEF"/>
    <w:rsid w:val="00DC18A2"/>
    <w:rsid w:val="00DC1B31"/>
    <w:rsid w:val="00DC3074"/>
    <w:rsid w:val="00DC3629"/>
    <w:rsid w:val="00DC466C"/>
    <w:rsid w:val="00DC54C4"/>
    <w:rsid w:val="00DC54EA"/>
    <w:rsid w:val="00DC6BDD"/>
    <w:rsid w:val="00DC7255"/>
    <w:rsid w:val="00DC774A"/>
    <w:rsid w:val="00DD019A"/>
    <w:rsid w:val="00DD0707"/>
    <w:rsid w:val="00DD074B"/>
    <w:rsid w:val="00DD0C9A"/>
    <w:rsid w:val="00DD1446"/>
    <w:rsid w:val="00DD1752"/>
    <w:rsid w:val="00DD1EA5"/>
    <w:rsid w:val="00DD2767"/>
    <w:rsid w:val="00DD291E"/>
    <w:rsid w:val="00DD2DAC"/>
    <w:rsid w:val="00DD3406"/>
    <w:rsid w:val="00DD45B5"/>
    <w:rsid w:val="00DD4734"/>
    <w:rsid w:val="00DD48D3"/>
    <w:rsid w:val="00DD4DB6"/>
    <w:rsid w:val="00DD4ECE"/>
    <w:rsid w:val="00DD5624"/>
    <w:rsid w:val="00DD5A6A"/>
    <w:rsid w:val="00DD6026"/>
    <w:rsid w:val="00DD65BE"/>
    <w:rsid w:val="00DD72D9"/>
    <w:rsid w:val="00DD74F4"/>
    <w:rsid w:val="00DD7B71"/>
    <w:rsid w:val="00DD7CA2"/>
    <w:rsid w:val="00DE0087"/>
    <w:rsid w:val="00DE0669"/>
    <w:rsid w:val="00DE0D41"/>
    <w:rsid w:val="00DE0DEA"/>
    <w:rsid w:val="00DE118C"/>
    <w:rsid w:val="00DE11A8"/>
    <w:rsid w:val="00DE3393"/>
    <w:rsid w:val="00DE3461"/>
    <w:rsid w:val="00DE3535"/>
    <w:rsid w:val="00DE36BF"/>
    <w:rsid w:val="00DE38C1"/>
    <w:rsid w:val="00DE3A09"/>
    <w:rsid w:val="00DE4376"/>
    <w:rsid w:val="00DE466A"/>
    <w:rsid w:val="00DE4C45"/>
    <w:rsid w:val="00DE4CE4"/>
    <w:rsid w:val="00DE5A06"/>
    <w:rsid w:val="00DE6141"/>
    <w:rsid w:val="00DE6EDE"/>
    <w:rsid w:val="00DE71A7"/>
    <w:rsid w:val="00DE75EB"/>
    <w:rsid w:val="00DF13F8"/>
    <w:rsid w:val="00DF2251"/>
    <w:rsid w:val="00DF2B6F"/>
    <w:rsid w:val="00DF2DEF"/>
    <w:rsid w:val="00DF304B"/>
    <w:rsid w:val="00DF3C49"/>
    <w:rsid w:val="00DF53AC"/>
    <w:rsid w:val="00DF5978"/>
    <w:rsid w:val="00DF71B2"/>
    <w:rsid w:val="00DF72B7"/>
    <w:rsid w:val="00E0025A"/>
    <w:rsid w:val="00E01CE4"/>
    <w:rsid w:val="00E01E19"/>
    <w:rsid w:val="00E023BF"/>
    <w:rsid w:val="00E02521"/>
    <w:rsid w:val="00E02DD3"/>
    <w:rsid w:val="00E030FB"/>
    <w:rsid w:val="00E03920"/>
    <w:rsid w:val="00E04A61"/>
    <w:rsid w:val="00E06153"/>
    <w:rsid w:val="00E064CC"/>
    <w:rsid w:val="00E0683B"/>
    <w:rsid w:val="00E06AA9"/>
    <w:rsid w:val="00E06FA2"/>
    <w:rsid w:val="00E07A37"/>
    <w:rsid w:val="00E07CAE"/>
    <w:rsid w:val="00E07CF6"/>
    <w:rsid w:val="00E07EAC"/>
    <w:rsid w:val="00E10AC7"/>
    <w:rsid w:val="00E11F2F"/>
    <w:rsid w:val="00E1267E"/>
    <w:rsid w:val="00E1292C"/>
    <w:rsid w:val="00E12AAF"/>
    <w:rsid w:val="00E132D7"/>
    <w:rsid w:val="00E133AA"/>
    <w:rsid w:val="00E1345B"/>
    <w:rsid w:val="00E135DE"/>
    <w:rsid w:val="00E13C72"/>
    <w:rsid w:val="00E13D5C"/>
    <w:rsid w:val="00E1456E"/>
    <w:rsid w:val="00E146EC"/>
    <w:rsid w:val="00E1632F"/>
    <w:rsid w:val="00E16405"/>
    <w:rsid w:val="00E16693"/>
    <w:rsid w:val="00E16C7D"/>
    <w:rsid w:val="00E20285"/>
    <w:rsid w:val="00E21387"/>
    <w:rsid w:val="00E22CBB"/>
    <w:rsid w:val="00E252D3"/>
    <w:rsid w:val="00E256AC"/>
    <w:rsid w:val="00E259AE"/>
    <w:rsid w:val="00E25AD9"/>
    <w:rsid w:val="00E25C77"/>
    <w:rsid w:val="00E268ED"/>
    <w:rsid w:val="00E26CE2"/>
    <w:rsid w:val="00E272AE"/>
    <w:rsid w:val="00E2799F"/>
    <w:rsid w:val="00E3004F"/>
    <w:rsid w:val="00E30486"/>
    <w:rsid w:val="00E30DB3"/>
    <w:rsid w:val="00E31317"/>
    <w:rsid w:val="00E31442"/>
    <w:rsid w:val="00E31876"/>
    <w:rsid w:val="00E31DF7"/>
    <w:rsid w:val="00E324D4"/>
    <w:rsid w:val="00E328FA"/>
    <w:rsid w:val="00E32994"/>
    <w:rsid w:val="00E33826"/>
    <w:rsid w:val="00E354C1"/>
    <w:rsid w:val="00E36327"/>
    <w:rsid w:val="00E3762A"/>
    <w:rsid w:val="00E3779A"/>
    <w:rsid w:val="00E40AFF"/>
    <w:rsid w:val="00E40F35"/>
    <w:rsid w:val="00E40FB7"/>
    <w:rsid w:val="00E4150A"/>
    <w:rsid w:val="00E41CC8"/>
    <w:rsid w:val="00E41F52"/>
    <w:rsid w:val="00E42264"/>
    <w:rsid w:val="00E4252C"/>
    <w:rsid w:val="00E4262F"/>
    <w:rsid w:val="00E427BD"/>
    <w:rsid w:val="00E42908"/>
    <w:rsid w:val="00E4449A"/>
    <w:rsid w:val="00E44553"/>
    <w:rsid w:val="00E44A08"/>
    <w:rsid w:val="00E44D25"/>
    <w:rsid w:val="00E4562C"/>
    <w:rsid w:val="00E46045"/>
    <w:rsid w:val="00E46621"/>
    <w:rsid w:val="00E46998"/>
    <w:rsid w:val="00E46F5E"/>
    <w:rsid w:val="00E47343"/>
    <w:rsid w:val="00E4797E"/>
    <w:rsid w:val="00E50480"/>
    <w:rsid w:val="00E50C9B"/>
    <w:rsid w:val="00E51040"/>
    <w:rsid w:val="00E51046"/>
    <w:rsid w:val="00E51EFA"/>
    <w:rsid w:val="00E520EC"/>
    <w:rsid w:val="00E52310"/>
    <w:rsid w:val="00E5240B"/>
    <w:rsid w:val="00E52A83"/>
    <w:rsid w:val="00E52ACE"/>
    <w:rsid w:val="00E52CC1"/>
    <w:rsid w:val="00E5416C"/>
    <w:rsid w:val="00E541D1"/>
    <w:rsid w:val="00E5495D"/>
    <w:rsid w:val="00E5567B"/>
    <w:rsid w:val="00E55777"/>
    <w:rsid w:val="00E55A39"/>
    <w:rsid w:val="00E567D8"/>
    <w:rsid w:val="00E571B9"/>
    <w:rsid w:val="00E573D4"/>
    <w:rsid w:val="00E57AF7"/>
    <w:rsid w:val="00E60B57"/>
    <w:rsid w:val="00E60C50"/>
    <w:rsid w:val="00E61846"/>
    <w:rsid w:val="00E624F4"/>
    <w:rsid w:val="00E62828"/>
    <w:rsid w:val="00E62D3A"/>
    <w:rsid w:val="00E62E3B"/>
    <w:rsid w:val="00E631FC"/>
    <w:rsid w:val="00E64421"/>
    <w:rsid w:val="00E64BF4"/>
    <w:rsid w:val="00E652CB"/>
    <w:rsid w:val="00E65E14"/>
    <w:rsid w:val="00E65E3F"/>
    <w:rsid w:val="00E6635F"/>
    <w:rsid w:val="00E66C3F"/>
    <w:rsid w:val="00E67735"/>
    <w:rsid w:val="00E67BDB"/>
    <w:rsid w:val="00E70149"/>
    <w:rsid w:val="00E701FB"/>
    <w:rsid w:val="00E7121E"/>
    <w:rsid w:val="00E7145E"/>
    <w:rsid w:val="00E7152D"/>
    <w:rsid w:val="00E71CEC"/>
    <w:rsid w:val="00E7214D"/>
    <w:rsid w:val="00E72D04"/>
    <w:rsid w:val="00E73030"/>
    <w:rsid w:val="00E73B3C"/>
    <w:rsid w:val="00E74615"/>
    <w:rsid w:val="00E748C4"/>
    <w:rsid w:val="00E75102"/>
    <w:rsid w:val="00E75677"/>
    <w:rsid w:val="00E76087"/>
    <w:rsid w:val="00E76AED"/>
    <w:rsid w:val="00E76E95"/>
    <w:rsid w:val="00E76EF9"/>
    <w:rsid w:val="00E77314"/>
    <w:rsid w:val="00E7770B"/>
    <w:rsid w:val="00E778E2"/>
    <w:rsid w:val="00E8109F"/>
    <w:rsid w:val="00E812D8"/>
    <w:rsid w:val="00E82189"/>
    <w:rsid w:val="00E82267"/>
    <w:rsid w:val="00E82A71"/>
    <w:rsid w:val="00E8383F"/>
    <w:rsid w:val="00E84CE1"/>
    <w:rsid w:val="00E8527D"/>
    <w:rsid w:val="00E8625F"/>
    <w:rsid w:val="00E8743F"/>
    <w:rsid w:val="00E8774E"/>
    <w:rsid w:val="00E90C20"/>
    <w:rsid w:val="00E915C8"/>
    <w:rsid w:val="00E92130"/>
    <w:rsid w:val="00E9235B"/>
    <w:rsid w:val="00E9372E"/>
    <w:rsid w:val="00E9427B"/>
    <w:rsid w:val="00E95E99"/>
    <w:rsid w:val="00E961D4"/>
    <w:rsid w:val="00E96B4C"/>
    <w:rsid w:val="00EA0207"/>
    <w:rsid w:val="00EA20A9"/>
    <w:rsid w:val="00EA3ABE"/>
    <w:rsid w:val="00EA3BE8"/>
    <w:rsid w:val="00EA4852"/>
    <w:rsid w:val="00EA58C8"/>
    <w:rsid w:val="00EA6054"/>
    <w:rsid w:val="00EA62C6"/>
    <w:rsid w:val="00EA71C3"/>
    <w:rsid w:val="00EA7578"/>
    <w:rsid w:val="00EB03F9"/>
    <w:rsid w:val="00EB0671"/>
    <w:rsid w:val="00EB0773"/>
    <w:rsid w:val="00EB18F6"/>
    <w:rsid w:val="00EB1D01"/>
    <w:rsid w:val="00EB2B58"/>
    <w:rsid w:val="00EB2DF9"/>
    <w:rsid w:val="00EB2FB0"/>
    <w:rsid w:val="00EB422A"/>
    <w:rsid w:val="00EB4D63"/>
    <w:rsid w:val="00EB530D"/>
    <w:rsid w:val="00EB564B"/>
    <w:rsid w:val="00EB5D9D"/>
    <w:rsid w:val="00EC0D7B"/>
    <w:rsid w:val="00EC11B6"/>
    <w:rsid w:val="00EC1737"/>
    <w:rsid w:val="00EC1771"/>
    <w:rsid w:val="00EC1CDE"/>
    <w:rsid w:val="00EC2B2B"/>
    <w:rsid w:val="00EC31D6"/>
    <w:rsid w:val="00EC3926"/>
    <w:rsid w:val="00EC421E"/>
    <w:rsid w:val="00EC4A4C"/>
    <w:rsid w:val="00EC5100"/>
    <w:rsid w:val="00EC58D4"/>
    <w:rsid w:val="00EC6018"/>
    <w:rsid w:val="00EC6FFE"/>
    <w:rsid w:val="00EC7FD7"/>
    <w:rsid w:val="00ED01DB"/>
    <w:rsid w:val="00ED0CC8"/>
    <w:rsid w:val="00ED162A"/>
    <w:rsid w:val="00ED1C75"/>
    <w:rsid w:val="00ED2398"/>
    <w:rsid w:val="00ED283E"/>
    <w:rsid w:val="00ED2C90"/>
    <w:rsid w:val="00ED333A"/>
    <w:rsid w:val="00ED4053"/>
    <w:rsid w:val="00ED4641"/>
    <w:rsid w:val="00ED54D3"/>
    <w:rsid w:val="00ED55BC"/>
    <w:rsid w:val="00ED5624"/>
    <w:rsid w:val="00ED590E"/>
    <w:rsid w:val="00ED69E6"/>
    <w:rsid w:val="00ED6B08"/>
    <w:rsid w:val="00ED707E"/>
    <w:rsid w:val="00ED79C4"/>
    <w:rsid w:val="00ED7B70"/>
    <w:rsid w:val="00ED7FF9"/>
    <w:rsid w:val="00EE0158"/>
    <w:rsid w:val="00EE0737"/>
    <w:rsid w:val="00EE12B9"/>
    <w:rsid w:val="00EE12CF"/>
    <w:rsid w:val="00EE22C4"/>
    <w:rsid w:val="00EE2C96"/>
    <w:rsid w:val="00EE2F7B"/>
    <w:rsid w:val="00EE3737"/>
    <w:rsid w:val="00EE3D53"/>
    <w:rsid w:val="00EE4B9E"/>
    <w:rsid w:val="00EE52E3"/>
    <w:rsid w:val="00EE54AE"/>
    <w:rsid w:val="00EE561A"/>
    <w:rsid w:val="00EE5F31"/>
    <w:rsid w:val="00EE6A2B"/>
    <w:rsid w:val="00EE71C5"/>
    <w:rsid w:val="00EE7A85"/>
    <w:rsid w:val="00EE7BF5"/>
    <w:rsid w:val="00EF08B9"/>
    <w:rsid w:val="00EF0D5C"/>
    <w:rsid w:val="00EF102A"/>
    <w:rsid w:val="00EF1BA3"/>
    <w:rsid w:val="00EF205F"/>
    <w:rsid w:val="00EF233B"/>
    <w:rsid w:val="00EF27C8"/>
    <w:rsid w:val="00EF2A05"/>
    <w:rsid w:val="00EF2FE8"/>
    <w:rsid w:val="00EF412E"/>
    <w:rsid w:val="00EF4192"/>
    <w:rsid w:val="00EF4EF9"/>
    <w:rsid w:val="00EF4FE5"/>
    <w:rsid w:val="00EF51A6"/>
    <w:rsid w:val="00EF5573"/>
    <w:rsid w:val="00EF586F"/>
    <w:rsid w:val="00EF58E7"/>
    <w:rsid w:val="00EF5F9F"/>
    <w:rsid w:val="00EF727C"/>
    <w:rsid w:val="00EF764E"/>
    <w:rsid w:val="00EF7BDD"/>
    <w:rsid w:val="00EF7E04"/>
    <w:rsid w:val="00F001D7"/>
    <w:rsid w:val="00F0026F"/>
    <w:rsid w:val="00F0041A"/>
    <w:rsid w:val="00F01549"/>
    <w:rsid w:val="00F01A5F"/>
    <w:rsid w:val="00F01AC5"/>
    <w:rsid w:val="00F01F83"/>
    <w:rsid w:val="00F0292D"/>
    <w:rsid w:val="00F02C58"/>
    <w:rsid w:val="00F030B8"/>
    <w:rsid w:val="00F03156"/>
    <w:rsid w:val="00F038F7"/>
    <w:rsid w:val="00F048CA"/>
    <w:rsid w:val="00F05622"/>
    <w:rsid w:val="00F05F2F"/>
    <w:rsid w:val="00F05FBB"/>
    <w:rsid w:val="00F0645A"/>
    <w:rsid w:val="00F06A07"/>
    <w:rsid w:val="00F072FA"/>
    <w:rsid w:val="00F07F0D"/>
    <w:rsid w:val="00F101FA"/>
    <w:rsid w:val="00F107D2"/>
    <w:rsid w:val="00F10A1D"/>
    <w:rsid w:val="00F1158F"/>
    <w:rsid w:val="00F11C54"/>
    <w:rsid w:val="00F12530"/>
    <w:rsid w:val="00F127D6"/>
    <w:rsid w:val="00F12A21"/>
    <w:rsid w:val="00F12E29"/>
    <w:rsid w:val="00F13EDE"/>
    <w:rsid w:val="00F14600"/>
    <w:rsid w:val="00F1469D"/>
    <w:rsid w:val="00F14FBF"/>
    <w:rsid w:val="00F15789"/>
    <w:rsid w:val="00F1670F"/>
    <w:rsid w:val="00F1692B"/>
    <w:rsid w:val="00F16C12"/>
    <w:rsid w:val="00F16CF2"/>
    <w:rsid w:val="00F17209"/>
    <w:rsid w:val="00F17FCE"/>
    <w:rsid w:val="00F20194"/>
    <w:rsid w:val="00F2025C"/>
    <w:rsid w:val="00F20B64"/>
    <w:rsid w:val="00F20E24"/>
    <w:rsid w:val="00F21733"/>
    <w:rsid w:val="00F21841"/>
    <w:rsid w:val="00F21A60"/>
    <w:rsid w:val="00F224EB"/>
    <w:rsid w:val="00F2261C"/>
    <w:rsid w:val="00F22887"/>
    <w:rsid w:val="00F229C7"/>
    <w:rsid w:val="00F240CF"/>
    <w:rsid w:val="00F241D7"/>
    <w:rsid w:val="00F244F2"/>
    <w:rsid w:val="00F24B65"/>
    <w:rsid w:val="00F25F6C"/>
    <w:rsid w:val="00F26280"/>
    <w:rsid w:val="00F2632A"/>
    <w:rsid w:val="00F269D4"/>
    <w:rsid w:val="00F26BC5"/>
    <w:rsid w:val="00F26FFB"/>
    <w:rsid w:val="00F306EC"/>
    <w:rsid w:val="00F30B19"/>
    <w:rsid w:val="00F3188E"/>
    <w:rsid w:val="00F31DAD"/>
    <w:rsid w:val="00F32156"/>
    <w:rsid w:val="00F34176"/>
    <w:rsid w:val="00F3453A"/>
    <w:rsid w:val="00F346DF"/>
    <w:rsid w:val="00F34865"/>
    <w:rsid w:val="00F3500F"/>
    <w:rsid w:val="00F36C4B"/>
    <w:rsid w:val="00F37245"/>
    <w:rsid w:val="00F377AB"/>
    <w:rsid w:val="00F404FB"/>
    <w:rsid w:val="00F40942"/>
    <w:rsid w:val="00F4099A"/>
    <w:rsid w:val="00F40B6C"/>
    <w:rsid w:val="00F413AB"/>
    <w:rsid w:val="00F416F0"/>
    <w:rsid w:val="00F41A55"/>
    <w:rsid w:val="00F41DC5"/>
    <w:rsid w:val="00F42E7D"/>
    <w:rsid w:val="00F43696"/>
    <w:rsid w:val="00F43816"/>
    <w:rsid w:val="00F43A58"/>
    <w:rsid w:val="00F441B1"/>
    <w:rsid w:val="00F44475"/>
    <w:rsid w:val="00F4495B"/>
    <w:rsid w:val="00F45833"/>
    <w:rsid w:val="00F45BCE"/>
    <w:rsid w:val="00F45D66"/>
    <w:rsid w:val="00F45EF1"/>
    <w:rsid w:val="00F46DC9"/>
    <w:rsid w:val="00F47870"/>
    <w:rsid w:val="00F47E91"/>
    <w:rsid w:val="00F50569"/>
    <w:rsid w:val="00F51A28"/>
    <w:rsid w:val="00F52778"/>
    <w:rsid w:val="00F53B26"/>
    <w:rsid w:val="00F54212"/>
    <w:rsid w:val="00F54491"/>
    <w:rsid w:val="00F55D87"/>
    <w:rsid w:val="00F562E4"/>
    <w:rsid w:val="00F56311"/>
    <w:rsid w:val="00F56AF4"/>
    <w:rsid w:val="00F56F66"/>
    <w:rsid w:val="00F57737"/>
    <w:rsid w:val="00F6028D"/>
    <w:rsid w:val="00F6138F"/>
    <w:rsid w:val="00F6147D"/>
    <w:rsid w:val="00F620F0"/>
    <w:rsid w:val="00F62CE9"/>
    <w:rsid w:val="00F6372D"/>
    <w:rsid w:val="00F63B20"/>
    <w:rsid w:val="00F63E5C"/>
    <w:rsid w:val="00F6487C"/>
    <w:rsid w:val="00F64E58"/>
    <w:rsid w:val="00F65A47"/>
    <w:rsid w:val="00F6689D"/>
    <w:rsid w:val="00F668BB"/>
    <w:rsid w:val="00F668C9"/>
    <w:rsid w:val="00F67F51"/>
    <w:rsid w:val="00F70206"/>
    <w:rsid w:val="00F7028E"/>
    <w:rsid w:val="00F716D3"/>
    <w:rsid w:val="00F71830"/>
    <w:rsid w:val="00F71AEF"/>
    <w:rsid w:val="00F71E96"/>
    <w:rsid w:val="00F72331"/>
    <w:rsid w:val="00F72E75"/>
    <w:rsid w:val="00F72F0F"/>
    <w:rsid w:val="00F73004"/>
    <w:rsid w:val="00F73092"/>
    <w:rsid w:val="00F73D8D"/>
    <w:rsid w:val="00F74EE1"/>
    <w:rsid w:val="00F7551C"/>
    <w:rsid w:val="00F75AC8"/>
    <w:rsid w:val="00F76158"/>
    <w:rsid w:val="00F765D7"/>
    <w:rsid w:val="00F8023F"/>
    <w:rsid w:val="00F81278"/>
    <w:rsid w:val="00F828A1"/>
    <w:rsid w:val="00F82A10"/>
    <w:rsid w:val="00F83569"/>
    <w:rsid w:val="00F83C7E"/>
    <w:rsid w:val="00F83D48"/>
    <w:rsid w:val="00F83DCF"/>
    <w:rsid w:val="00F83EE5"/>
    <w:rsid w:val="00F850DB"/>
    <w:rsid w:val="00F85CD6"/>
    <w:rsid w:val="00F86213"/>
    <w:rsid w:val="00F8649F"/>
    <w:rsid w:val="00F874E0"/>
    <w:rsid w:val="00F8762F"/>
    <w:rsid w:val="00F902B4"/>
    <w:rsid w:val="00F903E9"/>
    <w:rsid w:val="00F911AC"/>
    <w:rsid w:val="00F91419"/>
    <w:rsid w:val="00F9199D"/>
    <w:rsid w:val="00F929E4"/>
    <w:rsid w:val="00F92B82"/>
    <w:rsid w:val="00F92BEF"/>
    <w:rsid w:val="00F92ECE"/>
    <w:rsid w:val="00F931F3"/>
    <w:rsid w:val="00F9377B"/>
    <w:rsid w:val="00F937D5"/>
    <w:rsid w:val="00F94608"/>
    <w:rsid w:val="00F948BF"/>
    <w:rsid w:val="00F94B78"/>
    <w:rsid w:val="00F9681E"/>
    <w:rsid w:val="00F96B06"/>
    <w:rsid w:val="00F97FA5"/>
    <w:rsid w:val="00FA0892"/>
    <w:rsid w:val="00FA0EBA"/>
    <w:rsid w:val="00FA1E50"/>
    <w:rsid w:val="00FA21A2"/>
    <w:rsid w:val="00FA2456"/>
    <w:rsid w:val="00FA2EB1"/>
    <w:rsid w:val="00FA3619"/>
    <w:rsid w:val="00FA3DD1"/>
    <w:rsid w:val="00FA6467"/>
    <w:rsid w:val="00FA66E0"/>
    <w:rsid w:val="00FA6C2D"/>
    <w:rsid w:val="00FA6DF6"/>
    <w:rsid w:val="00FA7132"/>
    <w:rsid w:val="00FA7166"/>
    <w:rsid w:val="00FA7B79"/>
    <w:rsid w:val="00FA7CD8"/>
    <w:rsid w:val="00FB1C93"/>
    <w:rsid w:val="00FB266F"/>
    <w:rsid w:val="00FB2971"/>
    <w:rsid w:val="00FB2C7D"/>
    <w:rsid w:val="00FB2D69"/>
    <w:rsid w:val="00FB2EF8"/>
    <w:rsid w:val="00FB341A"/>
    <w:rsid w:val="00FB3BCC"/>
    <w:rsid w:val="00FB3D26"/>
    <w:rsid w:val="00FB44FC"/>
    <w:rsid w:val="00FB5173"/>
    <w:rsid w:val="00FB6CA5"/>
    <w:rsid w:val="00FC02B6"/>
    <w:rsid w:val="00FC0A62"/>
    <w:rsid w:val="00FC189B"/>
    <w:rsid w:val="00FC2172"/>
    <w:rsid w:val="00FC29BC"/>
    <w:rsid w:val="00FC3C25"/>
    <w:rsid w:val="00FC3D66"/>
    <w:rsid w:val="00FC4072"/>
    <w:rsid w:val="00FC44B5"/>
    <w:rsid w:val="00FC4EE5"/>
    <w:rsid w:val="00FC5015"/>
    <w:rsid w:val="00FC5078"/>
    <w:rsid w:val="00FC50CB"/>
    <w:rsid w:val="00FC5531"/>
    <w:rsid w:val="00FC5997"/>
    <w:rsid w:val="00FC70D5"/>
    <w:rsid w:val="00FC7688"/>
    <w:rsid w:val="00FC7DD0"/>
    <w:rsid w:val="00FD04A1"/>
    <w:rsid w:val="00FD0A35"/>
    <w:rsid w:val="00FD0F5A"/>
    <w:rsid w:val="00FD11A9"/>
    <w:rsid w:val="00FD134B"/>
    <w:rsid w:val="00FD16E4"/>
    <w:rsid w:val="00FD35F4"/>
    <w:rsid w:val="00FD396B"/>
    <w:rsid w:val="00FD448D"/>
    <w:rsid w:val="00FD5B93"/>
    <w:rsid w:val="00FD5F7B"/>
    <w:rsid w:val="00FD5FD3"/>
    <w:rsid w:val="00FD6208"/>
    <w:rsid w:val="00FD631D"/>
    <w:rsid w:val="00FD6980"/>
    <w:rsid w:val="00FD7530"/>
    <w:rsid w:val="00FE0ABD"/>
    <w:rsid w:val="00FE0B8B"/>
    <w:rsid w:val="00FE0C37"/>
    <w:rsid w:val="00FE0F15"/>
    <w:rsid w:val="00FE1085"/>
    <w:rsid w:val="00FE16D6"/>
    <w:rsid w:val="00FE3294"/>
    <w:rsid w:val="00FE3360"/>
    <w:rsid w:val="00FE33B8"/>
    <w:rsid w:val="00FE3571"/>
    <w:rsid w:val="00FE42A1"/>
    <w:rsid w:val="00FE42D0"/>
    <w:rsid w:val="00FE4358"/>
    <w:rsid w:val="00FE4C21"/>
    <w:rsid w:val="00FE53E8"/>
    <w:rsid w:val="00FE5BD2"/>
    <w:rsid w:val="00FE75B3"/>
    <w:rsid w:val="00FE7849"/>
    <w:rsid w:val="00FF062C"/>
    <w:rsid w:val="00FF073E"/>
    <w:rsid w:val="00FF0A61"/>
    <w:rsid w:val="00FF0CF1"/>
    <w:rsid w:val="00FF0F4B"/>
    <w:rsid w:val="00FF1331"/>
    <w:rsid w:val="00FF19AD"/>
    <w:rsid w:val="00FF20D3"/>
    <w:rsid w:val="00FF2383"/>
    <w:rsid w:val="00FF24B0"/>
    <w:rsid w:val="00FF3C58"/>
    <w:rsid w:val="00FF3EB1"/>
    <w:rsid w:val="00FF44B6"/>
    <w:rsid w:val="00FF4522"/>
    <w:rsid w:val="00FF492B"/>
    <w:rsid w:val="00FF4981"/>
    <w:rsid w:val="00FF4D77"/>
    <w:rsid w:val="00FF4E2A"/>
    <w:rsid w:val="00FF6F5A"/>
    <w:rsid w:val="2A893FFB"/>
    <w:rsid w:val="79919EB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5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BD"/>
    <w:pPr>
      <w:spacing w:after="120"/>
    </w:pPr>
    <w:rPr>
      <w:rFonts w:ascii="Calibri" w:hAnsi="Calibri" w:cs="Arial"/>
      <w:lang w:eastAsia="en-NZ"/>
    </w:rPr>
  </w:style>
  <w:style w:type="paragraph" w:styleId="Heading1">
    <w:name w:val="heading 1"/>
    <w:basedOn w:val="Normal"/>
    <w:link w:val="Heading1Char"/>
    <w:uiPriority w:val="9"/>
    <w:qFormat/>
    <w:rsid w:val="00B20710"/>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31D2D"/>
    <w:pPr>
      <w:keepNext/>
      <w:pBdr>
        <w:top w:val="nil"/>
        <w:left w:val="nil"/>
        <w:bottom w:val="nil"/>
        <w:right w:val="nil"/>
        <w:between w:val="nil"/>
      </w:pBdr>
      <w:spacing w:before="240" w:after="60"/>
      <w:outlineLvl w:val="1"/>
    </w:pPr>
    <w:rPr>
      <w:rFonts w:eastAsia="Calibri" w:cs="Calibri"/>
      <w:b/>
      <w:i/>
      <w:sz w:val="36"/>
      <w:szCs w:val="36"/>
    </w:rPr>
  </w:style>
  <w:style w:type="paragraph" w:styleId="Heading3">
    <w:name w:val="heading 3"/>
    <w:basedOn w:val="Normal"/>
    <w:next w:val="Normal"/>
    <w:link w:val="Heading3Char"/>
    <w:autoRedefine/>
    <w:uiPriority w:val="9"/>
    <w:unhideWhenUsed/>
    <w:qFormat/>
    <w:rsid w:val="003E1C0F"/>
    <w:pPr>
      <w:keepNext/>
      <w:keepLines/>
      <w:spacing w:before="40"/>
      <w:outlineLvl w:val="2"/>
    </w:pPr>
    <w:rPr>
      <w:rFonts w:eastAsiaTheme="majorEastAsia" w:cstheme="majorBidi"/>
      <w:b/>
      <w:bCs/>
      <w:sz w:val="24"/>
      <w:lang w:val="mi-NZ"/>
    </w:rPr>
  </w:style>
  <w:style w:type="paragraph" w:styleId="Heading4">
    <w:name w:val="heading 4"/>
    <w:basedOn w:val="Normal"/>
    <w:next w:val="Normal"/>
    <w:link w:val="Heading4Char"/>
    <w:uiPriority w:val="9"/>
    <w:unhideWhenUsed/>
    <w:qFormat/>
    <w:rsid w:val="00FE336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311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CB2595"/>
    <w:rPr>
      <w:rFonts w:ascii="Arial" w:hAnsi="Arial"/>
      <w:i/>
      <w:iCs/>
      <w:color w:val="404040" w:themeColor="text1" w:themeTint="BF"/>
      <w:sz w:val="24"/>
    </w:rPr>
  </w:style>
  <w:style w:type="character" w:customStyle="1" w:styleId="Heading2Char">
    <w:name w:val="Heading 2 Char"/>
    <w:link w:val="Heading2"/>
    <w:uiPriority w:val="9"/>
    <w:rsid w:val="00831D2D"/>
    <w:rPr>
      <w:rFonts w:ascii="Calibri" w:eastAsia="Calibri" w:hAnsi="Calibri" w:cs="Calibri"/>
      <w:b/>
      <w:i/>
      <w:sz w:val="36"/>
      <w:szCs w:val="36"/>
      <w:lang w:eastAsia="en-NZ"/>
    </w:rPr>
  </w:style>
  <w:style w:type="character" w:customStyle="1" w:styleId="Heading3Char">
    <w:name w:val="Heading 3 Char"/>
    <w:basedOn w:val="DefaultParagraphFont"/>
    <w:link w:val="Heading3"/>
    <w:uiPriority w:val="9"/>
    <w:rsid w:val="003E1C0F"/>
    <w:rPr>
      <w:rFonts w:ascii="Calibri" w:eastAsiaTheme="majorEastAsia" w:hAnsi="Calibri" w:cstheme="majorBidi"/>
      <w:b/>
      <w:bCs/>
      <w:sz w:val="24"/>
      <w:lang w:val="mi-NZ" w:eastAsia="en-NZ"/>
    </w:rPr>
  </w:style>
  <w:style w:type="paragraph" w:styleId="Subtitle">
    <w:name w:val="Subtitle"/>
    <w:basedOn w:val="Normal"/>
    <w:next w:val="Normal"/>
    <w:link w:val="SubtitleChar"/>
    <w:autoRedefine/>
    <w:uiPriority w:val="11"/>
    <w:qFormat/>
    <w:rsid w:val="00FE3360"/>
    <w:pPr>
      <w:numPr>
        <w:ilvl w:val="1"/>
      </w:numPr>
    </w:pPr>
    <w:rPr>
      <w:rFonts w:eastAsiaTheme="minorEastAsia" w:cstheme="minorBidi"/>
      <w:b/>
      <w:color w:val="5A5A5A" w:themeColor="text1" w:themeTint="A5"/>
      <w:spacing w:val="15"/>
      <w:sz w:val="28"/>
    </w:rPr>
  </w:style>
  <w:style w:type="character" w:customStyle="1" w:styleId="SubtitleChar">
    <w:name w:val="Subtitle Char"/>
    <w:basedOn w:val="DefaultParagraphFont"/>
    <w:link w:val="Subtitle"/>
    <w:uiPriority w:val="11"/>
    <w:rsid w:val="00FE3360"/>
    <w:rPr>
      <w:rFonts w:ascii="Open Sans Light" w:eastAsiaTheme="minorEastAsia" w:hAnsi="Open Sans Light"/>
      <w:b/>
      <w:color w:val="5A5A5A" w:themeColor="text1" w:themeTint="A5"/>
      <w:spacing w:val="15"/>
      <w:sz w:val="28"/>
      <w:lang w:val="en-AU"/>
    </w:rPr>
  </w:style>
  <w:style w:type="character" w:customStyle="1" w:styleId="Heading4Char">
    <w:name w:val="Heading 4 Char"/>
    <w:basedOn w:val="DefaultParagraphFont"/>
    <w:link w:val="Heading4"/>
    <w:uiPriority w:val="9"/>
    <w:rsid w:val="00FE3360"/>
    <w:rPr>
      <w:rFonts w:asciiTheme="majorHAnsi" w:eastAsiaTheme="majorEastAsia" w:hAnsiTheme="majorHAnsi" w:cstheme="majorBidi"/>
      <w:i/>
      <w:iCs/>
      <w:color w:val="2F5496" w:themeColor="accent1" w:themeShade="BF"/>
      <w:szCs w:val="24"/>
      <w:lang w:val="en-AU"/>
    </w:rPr>
  </w:style>
  <w:style w:type="character" w:customStyle="1" w:styleId="IntenseReference1">
    <w:name w:val="Intense Reference1"/>
    <w:aliases w:val="Superscript"/>
    <w:qFormat/>
    <w:rsid w:val="00E65E3F"/>
    <w:rPr>
      <w:rFonts w:ascii="Arial" w:hAnsi="Arial"/>
      <w:b/>
      <w:bCs/>
      <w:smallCaps/>
      <w:spacing w:val="5"/>
      <w:sz w:val="28"/>
      <w:szCs w:val="16"/>
      <w:vertAlign w:val="superscript"/>
    </w:rPr>
  </w:style>
  <w:style w:type="paragraph" w:styleId="ListParagraph">
    <w:name w:val="List Paragraph"/>
    <w:basedOn w:val="ListBullet"/>
    <w:autoRedefine/>
    <w:uiPriority w:val="34"/>
    <w:qFormat/>
    <w:rsid w:val="006D64E1"/>
    <w:pPr>
      <w:numPr>
        <w:numId w:val="12"/>
      </w:numPr>
      <w:tabs>
        <w:tab w:val="left" w:pos="1782"/>
        <w:tab w:val="left" w:pos="4184"/>
        <w:tab w:val="left" w:pos="6581"/>
      </w:tabs>
      <w:suppressAutoHyphens/>
      <w:autoSpaceDE w:val="0"/>
      <w:autoSpaceDN w:val="0"/>
      <w:adjustRightInd w:val="0"/>
      <w:spacing w:before="120" w:line="240" w:lineRule="auto"/>
    </w:pPr>
    <w:rPr>
      <w:rFonts w:asciiTheme="minorHAnsi" w:hAnsiTheme="minorHAnsi"/>
      <w:bCs/>
      <w:color w:val="000000"/>
      <w:lang w:val="mi-NZ"/>
    </w:rPr>
  </w:style>
  <w:style w:type="paragraph" w:styleId="ListBullet">
    <w:name w:val="List Bullet"/>
    <w:basedOn w:val="Normal"/>
    <w:uiPriority w:val="99"/>
    <w:semiHidden/>
    <w:unhideWhenUsed/>
    <w:rsid w:val="00B57F59"/>
    <w:pPr>
      <w:numPr>
        <w:numId w:val="3"/>
      </w:numPr>
      <w:contextualSpacing/>
    </w:pPr>
  </w:style>
  <w:style w:type="paragraph" w:styleId="Bibliography">
    <w:name w:val="Bibliography"/>
    <w:basedOn w:val="Normal"/>
    <w:next w:val="Normal"/>
    <w:uiPriority w:val="37"/>
    <w:unhideWhenUsed/>
    <w:qFormat/>
    <w:rsid w:val="009D0E29"/>
    <w:pPr>
      <w:spacing w:line="240" w:lineRule="auto"/>
      <w:ind w:right="567" w:firstLine="720"/>
    </w:pPr>
    <w:rPr>
      <w:sz w:val="20"/>
    </w:rPr>
  </w:style>
  <w:style w:type="paragraph" w:styleId="Quote">
    <w:name w:val="Quote"/>
    <w:basedOn w:val="Normal"/>
    <w:next w:val="Normal"/>
    <w:link w:val="QuoteChar"/>
    <w:uiPriority w:val="29"/>
    <w:qFormat/>
    <w:rsid w:val="00E60B57"/>
    <w:pPr>
      <w:widowControl w:val="0"/>
      <w:spacing w:before="120" w:line="240" w:lineRule="auto"/>
      <w:ind w:left="720"/>
    </w:pPr>
    <w:rPr>
      <w:rFonts w:asciiTheme="minorHAnsi" w:hAnsiTheme="minorHAnsi" w:cstheme="minorBidi"/>
      <w:i/>
      <w:sz w:val="24"/>
      <w:szCs w:val="24"/>
      <w:lang w:eastAsia="en-US"/>
    </w:rPr>
  </w:style>
  <w:style w:type="character" w:customStyle="1" w:styleId="QuoteChar">
    <w:name w:val="Quote Char"/>
    <w:basedOn w:val="DefaultParagraphFont"/>
    <w:link w:val="Quote"/>
    <w:uiPriority w:val="29"/>
    <w:rsid w:val="00E60B57"/>
    <w:rPr>
      <w:i/>
      <w:sz w:val="24"/>
      <w:szCs w:val="24"/>
    </w:rPr>
  </w:style>
  <w:style w:type="paragraph" w:styleId="Title">
    <w:name w:val="Title"/>
    <w:basedOn w:val="Normal"/>
    <w:next w:val="Normal"/>
    <w:link w:val="TitleChar"/>
    <w:uiPriority w:val="10"/>
    <w:qFormat/>
    <w:rsid w:val="00707481"/>
    <w:pPr>
      <w:spacing w:after="240"/>
      <w:jc w:val="center"/>
      <w:outlineLvl w:val="0"/>
    </w:pPr>
    <w:rPr>
      <w:rFonts w:ascii="Calibri Light" w:hAnsi="Calibri Light" w:cs="Times New Roman"/>
      <w:b/>
      <w:bCs/>
      <w:kern w:val="28"/>
      <w:sz w:val="32"/>
      <w:szCs w:val="32"/>
      <w:lang w:eastAsia="en-US"/>
    </w:rPr>
  </w:style>
  <w:style w:type="character" w:customStyle="1" w:styleId="TitleChar">
    <w:name w:val="Title Char"/>
    <w:link w:val="Title"/>
    <w:uiPriority w:val="10"/>
    <w:rsid w:val="00707481"/>
    <w:rPr>
      <w:rFonts w:ascii="Calibri Light" w:hAnsi="Calibri Light" w:cs="Times New Roman"/>
      <w:b/>
      <w:bCs/>
      <w:kern w:val="28"/>
      <w:sz w:val="32"/>
      <w:szCs w:val="32"/>
    </w:rPr>
  </w:style>
  <w:style w:type="character" w:styleId="IntenseEmphasis">
    <w:name w:val="Intense Emphasis"/>
    <w:basedOn w:val="DefaultParagraphFont"/>
    <w:uiPriority w:val="21"/>
    <w:qFormat/>
    <w:rsid w:val="00605F4C"/>
    <w:rPr>
      <w:rFonts w:asciiTheme="minorHAnsi" w:hAnsiTheme="minorHAnsi"/>
      <w:sz w:val="22"/>
      <w:bdr w:val="none" w:sz="0" w:space="0" w:color="auto"/>
    </w:rPr>
  </w:style>
  <w:style w:type="table" w:styleId="TableGrid">
    <w:name w:val="Table Grid"/>
    <w:basedOn w:val="TableNormal"/>
    <w:uiPriority w:val="39"/>
    <w:rsid w:val="00F70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DefaultParagraphFont"/>
    <w:rsid w:val="00F70206"/>
  </w:style>
  <w:style w:type="character" w:customStyle="1" w:styleId="sics-componentstorybody">
    <w:name w:val="sics-component__story__body"/>
    <w:basedOn w:val="DefaultParagraphFont"/>
    <w:rsid w:val="00F83DCF"/>
  </w:style>
  <w:style w:type="character" w:styleId="Hyperlink">
    <w:name w:val="Hyperlink"/>
    <w:basedOn w:val="DefaultParagraphFont"/>
    <w:uiPriority w:val="99"/>
    <w:unhideWhenUsed/>
    <w:rsid w:val="00F83DCF"/>
    <w:rPr>
      <w:color w:val="0000FF"/>
      <w:u w:val="single"/>
    </w:rPr>
  </w:style>
  <w:style w:type="character" w:customStyle="1" w:styleId="vuuxrf">
    <w:name w:val="vuuxrf"/>
    <w:basedOn w:val="DefaultParagraphFont"/>
    <w:rsid w:val="00F83DCF"/>
  </w:style>
  <w:style w:type="character" w:styleId="HTMLCite">
    <w:name w:val="HTML Cite"/>
    <w:basedOn w:val="DefaultParagraphFont"/>
    <w:uiPriority w:val="99"/>
    <w:semiHidden/>
    <w:unhideWhenUsed/>
    <w:rsid w:val="00F83DCF"/>
    <w:rPr>
      <w:i/>
      <w:iCs/>
    </w:rPr>
  </w:style>
  <w:style w:type="character" w:customStyle="1" w:styleId="apx8vc">
    <w:name w:val="apx8vc"/>
    <w:basedOn w:val="DefaultParagraphFont"/>
    <w:rsid w:val="00F83DCF"/>
  </w:style>
  <w:style w:type="character" w:styleId="Emphasis">
    <w:name w:val="Emphasis"/>
    <w:basedOn w:val="DefaultParagraphFont"/>
    <w:uiPriority w:val="20"/>
    <w:qFormat/>
    <w:rsid w:val="00F83DCF"/>
    <w:rPr>
      <w:i/>
      <w:iCs/>
    </w:rPr>
  </w:style>
  <w:style w:type="character" w:customStyle="1" w:styleId="Heading1Char">
    <w:name w:val="Heading 1 Char"/>
    <w:basedOn w:val="DefaultParagraphFont"/>
    <w:link w:val="Heading1"/>
    <w:uiPriority w:val="9"/>
    <w:rsid w:val="00B20710"/>
    <w:rPr>
      <w:rFonts w:ascii="Times New Roman" w:hAnsi="Times New Roman" w:cs="Times New Roman"/>
      <w:b/>
      <w:bCs/>
      <w:kern w:val="36"/>
      <w:sz w:val="48"/>
      <w:szCs w:val="48"/>
      <w:lang w:eastAsia="en-NZ"/>
    </w:rPr>
  </w:style>
  <w:style w:type="character" w:styleId="PlaceholderText">
    <w:name w:val="Placeholder Text"/>
    <w:basedOn w:val="DefaultParagraphFont"/>
    <w:uiPriority w:val="99"/>
    <w:semiHidden/>
    <w:rsid w:val="007A1A24"/>
    <w:rPr>
      <w:color w:val="808080"/>
    </w:rPr>
  </w:style>
  <w:style w:type="character" w:styleId="Strong">
    <w:name w:val="Strong"/>
    <w:basedOn w:val="DefaultParagraphFont"/>
    <w:uiPriority w:val="22"/>
    <w:qFormat/>
    <w:rsid w:val="00CA78D2"/>
    <w:rPr>
      <w:b/>
      <w:bCs/>
    </w:rPr>
  </w:style>
  <w:style w:type="paragraph" w:styleId="Header">
    <w:name w:val="header"/>
    <w:basedOn w:val="Normal"/>
    <w:link w:val="HeaderChar"/>
    <w:uiPriority w:val="99"/>
    <w:unhideWhenUsed/>
    <w:rsid w:val="00EE22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C4"/>
    <w:rPr>
      <w:rFonts w:ascii="Calibri" w:hAnsi="Calibri" w:cs="Arial"/>
      <w:lang w:eastAsia="en-NZ"/>
    </w:rPr>
  </w:style>
  <w:style w:type="paragraph" w:styleId="Footer">
    <w:name w:val="footer"/>
    <w:basedOn w:val="Normal"/>
    <w:link w:val="FooterChar"/>
    <w:uiPriority w:val="99"/>
    <w:unhideWhenUsed/>
    <w:rsid w:val="00EE22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2C4"/>
    <w:rPr>
      <w:rFonts w:ascii="Calibri" w:hAnsi="Calibri" w:cs="Arial"/>
      <w:lang w:eastAsia="en-NZ"/>
    </w:rPr>
  </w:style>
  <w:style w:type="paragraph" w:styleId="TOCHeading">
    <w:name w:val="TOC Heading"/>
    <w:basedOn w:val="Heading1"/>
    <w:next w:val="Normal"/>
    <w:uiPriority w:val="39"/>
    <w:unhideWhenUsed/>
    <w:qFormat/>
    <w:rsid w:val="00351B80"/>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6D64E1"/>
    <w:pPr>
      <w:tabs>
        <w:tab w:val="right" w:leader="dot" w:pos="9016"/>
      </w:tabs>
      <w:spacing w:after="100"/>
    </w:pPr>
  </w:style>
  <w:style w:type="paragraph" w:styleId="TOC3">
    <w:name w:val="toc 3"/>
    <w:basedOn w:val="Normal"/>
    <w:next w:val="Normal"/>
    <w:autoRedefine/>
    <w:uiPriority w:val="39"/>
    <w:unhideWhenUsed/>
    <w:rsid w:val="00351B80"/>
    <w:pPr>
      <w:spacing w:after="100"/>
      <w:ind w:left="440"/>
    </w:pPr>
  </w:style>
  <w:style w:type="paragraph" w:styleId="TOC4">
    <w:name w:val="toc 4"/>
    <w:basedOn w:val="Normal"/>
    <w:next w:val="Normal"/>
    <w:autoRedefine/>
    <w:uiPriority w:val="39"/>
    <w:unhideWhenUsed/>
    <w:rsid w:val="00351B80"/>
    <w:pPr>
      <w:spacing w:after="100"/>
      <w:ind w:left="660"/>
    </w:pPr>
  </w:style>
  <w:style w:type="character" w:customStyle="1" w:styleId="Heading5Char">
    <w:name w:val="Heading 5 Char"/>
    <w:basedOn w:val="DefaultParagraphFont"/>
    <w:link w:val="Heading5"/>
    <w:uiPriority w:val="9"/>
    <w:rsid w:val="0093112A"/>
    <w:rPr>
      <w:rFonts w:asciiTheme="majorHAnsi" w:eastAsiaTheme="majorEastAsia" w:hAnsiTheme="majorHAnsi" w:cstheme="majorBidi"/>
      <w:color w:val="2F5496" w:themeColor="accent1" w:themeShade="BF"/>
      <w:lang w:eastAsia="en-NZ"/>
    </w:rPr>
  </w:style>
  <w:style w:type="character" w:styleId="UnresolvedMention">
    <w:name w:val="Unresolved Mention"/>
    <w:basedOn w:val="DefaultParagraphFont"/>
    <w:uiPriority w:val="99"/>
    <w:semiHidden/>
    <w:unhideWhenUsed/>
    <w:rsid w:val="00EA71C3"/>
    <w:rPr>
      <w:color w:val="605E5C"/>
      <w:shd w:val="clear" w:color="auto" w:fill="E1DFDD"/>
    </w:rPr>
  </w:style>
  <w:style w:type="paragraph" w:styleId="FootnoteText">
    <w:name w:val="footnote text"/>
    <w:basedOn w:val="Normal"/>
    <w:link w:val="FootnoteTextChar"/>
    <w:uiPriority w:val="99"/>
    <w:unhideWhenUsed/>
    <w:rsid w:val="005C5631"/>
    <w:pPr>
      <w:spacing w:after="0" w:line="240" w:lineRule="auto"/>
    </w:pPr>
    <w:rPr>
      <w:sz w:val="20"/>
      <w:szCs w:val="20"/>
    </w:rPr>
  </w:style>
  <w:style w:type="character" w:customStyle="1" w:styleId="FootnoteTextChar">
    <w:name w:val="Footnote Text Char"/>
    <w:basedOn w:val="DefaultParagraphFont"/>
    <w:link w:val="FootnoteText"/>
    <w:uiPriority w:val="99"/>
    <w:rsid w:val="005C5631"/>
    <w:rPr>
      <w:rFonts w:ascii="Calibri" w:hAnsi="Calibri" w:cs="Arial"/>
      <w:sz w:val="20"/>
      <w:szCs w:val="20"/>
      <w:lang w:eastAsia="en-NZ"/>
    </w:rPr>
  </w:style>
  <w:style w:type="character" w:styleId="FootnoteReference">
    <w:name w:val="footnote reference"/>
    <w:basedOn w:val="DefaultParagraphFont"/>
    <w:uiPriority w:val="99"/>
    <w:semiHidden/>
    <w:unhideWhenUsed/>
    <w:rsid w:val="005C5631"/>
    <w:rPr>
      <w:vertAlign w:val="superscript"/>
    </w:rPr>
  </w:style>
  <w:style w:type="paragraph" w:styleId="TOC2">
    <w:name w:val="toc 2"/>
    <w:basedOn w:val="Normal"/>
    <w:next w:val="Normal"/>
    <w:autoRedefine/>
    <w:uiPriority w:val="39"/>
    <w:unhideWhenUsed/>
    <w:rsid w:val="006D64E1"/>
    <w:pPr>
      <w:tabs>
        <w:tab w:val="right" w:leader="dot" w:pos="9016"/>
      </w:tabs>
      <w:spacing w:after="100"/>
      <w:ind w:left="220"/>
    </w:pPr>
  </w:style>
  <w:style w:type="character" w:styleId="FollowedHyperlink">
    <w:name w:val="FollowedHyperlink"/>
    <w:basedOn w:val="DefaultParagraphFont"/>
    <w:uiPriority w:val="99"/>
    <w:semiHidden/>
    <w:unhideWhenUsed/>
    <w:rsid w:val="009319D3"/>
    <w:rPr>
      <w:color w:val="954F72" w:themeColor="followedHyperlink"/>
      <w:u w:val="single"/>
    </w:rPr>
  </w:style>
  <w:style w:type="paragraph" w:styleId="PlainText">
    <w:name w:val="Plain Text"/>
    <w:basedOn w:val="Normal"/>
    <w:link w:val="PlainTextChar"/>
    <w:uiPriority w:val="99"/>
    <w:unhideWhenUsed/>
    <w:rsid w:val="007F6519"/>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rsid w:val="007F6519"/>
    <w:rPr>
      <w:rFonts w:ascii="Calibri" w:eastAsiaTheme="minorHAnsi" w:hAnsi="Calibri"/>
      <w:szCs w:val="21"/>
    </w:rPr>
  </w:style>
  <w:style w:type="character" w:styleId="EndnoteReference">
    <w:name w:val="endnote reference"/>
    <w:basedOn w:val="DefaultParagraphFont"/>
    <w:uiPriority w:val="99"/>
    <w:semiHidden/>
    <w:unhideWhenUsed/>
    <w:rsid w:val="006573E2"/>
    <w:rPr>
      <w:vertAlign w:val="superscript"/>
    </w:rPr>
  </w:style>
  <w:style w:type="paragraph" w:customStyle="1" w:styleId="Default">
    <w:name w:val="Default"/>
    <w:rsid w:val="00037BAF"/>
    <w:pPr>
      <w:autoSpaceDE w:val="0"/>
      <w:autoSpaceDN w:val="0"/>
      <w:adjustRightInd w:val="0"/>
      <w:spacing w:after="0" w:line="240" w:lineRule="auto"/>
    </w:pPr>
    <w:rPr>
      <w:rFonts w:ascii="Calibri" w:hAnsi="Calibri" w:cs="Calibri"/>
      <w:color w:val="000000"/>
      <w:kern w:val="0"/>
      <w:sz w:val="24"/>
      <w:szCs w:val="24"/>
    </w:rPr>
  </w:style>
  <w:style w:type="character" w:customStyle="1" w:styleId="b2eff">
    <w:name w:val="b2eff"/>
    <w:basedOn w:val="DefaultParagraphFont"/>
    <w:rsid w:val="00037BAF"/>
  </w:style>
  <w:style w:type="paragraph" w:styleId="Revision">
    <w:name w:val="Revision"/>
    <w:hidden/>
    <w:uiPriority w:val="99"/>
    <w:semiHidden/>
    <w:rsid w:val="009F7F1E"/>
    <w:pPr>
      <w:spacing w:after="0" w:line="240" w:lineRule="auto"/>
    </w:pPr>
    <w:rPr>
      <w:rFonts w:ascii="Calibri" w:hAnsi="Calibri" w:cs="Arial"/>
      <w:lang w:eastAsia="en-NZ"/>
    </w:rPr>
  </w:style>
  <w:style w:type="character" w:styleId="CommentReference">
    <w:name w:val="annotation reference"/>
    <w:basedOn w:val="DefaultParagraphFont"/>
    <w:uiPriority w:val="99"/>
    <w:semiHidden/>
    <w:unhideWhenUsed/>
    <w:rsid w:val="0092331D"/>
    <w:rPr>
      <w:sz w:val="16"/>
      <w:szCs w:val="16"/>
    </w:rPr>
  </w:style>
  <w:style w:type="paragraph" w:styleId="CommentText">
    <w:name w:val="annotation text"/>
    <w:basedOn w:val="Normal"/>
    <w:link w:val="CommentTextChar"/>
    <w:uiPriority w:val="99"/>
    <w:unhideWhenUsed/>
    <w:rsid w:val="0092331D"/>
    <w:pPr>
      <w:spacing w:line="240" w:lineRule="auto"/>
    </w:pPr>
    <w:rPr>
      <w:sz w:val="20"/>
      <w:szCs w:val="20"/>
    </w:rPr>
  </w:style>
  <w:style w:type="character" w:customStyle="1" w:styleId="CommentTextChar">
    <w:name w:val="Comment Text Char"/>
    <w:basedOn w:val="DefaultParagraphFont"/>
    <w:link w:val="CommentText"/>
    <w:uiPriority w:val="99"/>
    <w:rsid w:val="0092331D"/>
    <w:rPr>
      <w:rFonts w:ascii="Calibri" w:hAnsi="Calibri" w:cs="Arial"/>
      <w:sz w:val="20"/>
      <w:szCs w:val="20"/>
      <w:lang w:eastAsia="en-NZ"/>
    </w:rPr>
  </w:style>
  <w:style w:type="paragraph" w:styleId="CommentSubject">
    <w:name w:val="annotation subject"/>
    <w:basedOn w:val="CommentText"/>
    <w:next w:val="CommentText"/>
    <w:link w:val="CommentSubjectChar"/>
    <w:uiPriority w:val="99"/>
    <w:semiHidden/>
    <w:unhideWhenUsed/>
    <w:rsid w:val="0092331D"/>
    <w:rPr>
      <w:b/>
      <w:bCs/>
    </w:rPr>
  </w:style>
  <w:style w:type="character" w:customStyle="1" w:styleId="CommentSubjectChar">
    <w:name w:val="Comment Subject Char"/>
    <w:basedOn w:val="CommentTextChar"/>
    <w:link w:val="CommentSubject"/>
    <w:uiPriority w:val="99"/>
    <w:semiHidden/>
    <w:rsid w:val="0092331D"/>
    <w:rPr>
      <w:rFonts w:ascii="Calibri" w:hAnsi="Calibri" w:cs="Arial"/>
      <w:b/>
      <w:bCs/>
      <w:sz w:val="20"/>
      <w:szCs w:val="20"/>
      <w:lang w:eastAsia="en-NZ"/>
    </w:rPr>
  </w:style>
  <w:style w:type="paragraph" w:styleId="EndnoteText">
    <w:name w:val="endnote text"/>
    <w:basedOn w:val="Normal"/>
    <w:link w:val="EndnoteTextChar"/>
    <w:uiPriority w:val="99"/>
    <w:semiHidden/>
    <w:unhideWhenUsed/>
    <w:rsid w:val="00561DD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1DD6"/>
    <w:rPr>
      <w:rFonts w:ascii="Calibri" w:hAnsi="Calibri" w:cs="Arial"/>
      <w:sz w:val="20"/>
      <w:szCs w:val="20"/>
      <w:lang w:eastAsia="en-NZ"/>
    </w:rPr>
  </w:style>
  <w:style w:type="character" w:customStyle="1" w:styleId="cf01">
    <w:name w:val="cf01"/>
    <w:basedOn w:val="DefaultParagraphFont"/>
    <w:rsid w:val="00396C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1995">
      <w:bodyDiv w:val="1"/>
      <w:marLeft w:val="0"/>
      <w:marRight w:val="0"/>
      <w:marTop w:val="0"/>
      <w:marBottom w:val="0"/>
      <w:divBdr>
        <w:top w:val="none" w:sz="0" w:space="0" w:color="auto"/>
        <w:left w:val="none" w:sz="0" w:space="0" w:color="auto"/>
        <w:bottom w:val="none" w:sz="0" w:space="0" w:color="auto"/>
        <w:right w:val="none" w:sz="0" w:space="0" w:color="auto"/>
      </w:divBdr>
    </w:div>
    <w:div w:id="28649343">
      <w:bodyDiv w:val="1"/>
      <w:marLeft w:val="0"/>
      <w:marRight w:val="0"/>
      <w:marTop w:val="0"/>
      <w:marBottom w:val="0"/>
      <w:divBdr>
        <w:top w:val="none" w:sz="0" w:space="0" w:color="auto"/>
        <w:left w:val="none" w:sz="0" w:space="0" w:color="auto"/>
        <w:bottom w:val="none" w:sz="0" w:space="0" w:color="auto"/>
        <w:right w:val="none" w:sz="0" w:space="0" w:color="auto"/>
      </w:divBdr>
    </w:div>
    <w:div w:id="162744098">
      <w:bodyDiv w:val="1"/>
      <w:marLeft w:val="0"/>
      <w:marRight w:val="0"/>
      <w:marTop w:val="0"/>
      <w:marBottom w:val="0"/>
      <w:divBdr>
        <w:top w:val="none" w:sz="0" w:space="0" w:color="auto"/>
        <w:left w:val="none" w:sz="0" w:space="0" w:color="auto"/>
        <w:bottom w:val="none" w:sz="0" w:space="0" w:color="auto"/>
        <w:right w:val="none" w:sz="0" w:space="0" w:color="auto"/>
      </w:divBdr>
      <w:divsChild>
        <w:div w:id="596672440">
          <w:marLeft w:val="0"/>
          <w:marRight w:val="0"/>
          <w:marTop w:val="0"/>
          <w:marBottom w:val="0"/>
          <w:divBdr>
            <w:top w:val="none" w:sz="0" w:space="0" w:color="auto"/>
            <w:left w:val="none" w:sz="0" w:space="0" w:color="auto"/>
            <w:bottom w:val="none" w:sz="0" w:space="0" w:color="auto"/>
            <w:right w:val="none" w:sz="0" w:space="0" w:color="auto"/>
          </w:divBdr>
          <w:divsChild>
            <w:div w:id="232156080">
              <w:marLeft w:val="0"/>
              <w:marRight w:val="0"/>
              <w:marTop w:val="0"/>
              <w:marBottom w:val="0"/>
              <w:divBdr>
                <w:top w:val="none" w:sz="0" w:space="0" w:color="auto"/>
                <w:left w:val="none" w:sz="0" w:space="0" w:color="auto"/>
                <w:bottom w:val="none" w:sz="0" w:space="0" w:color="auto"/>
                <w:right w:val="none" w:sz="0" w:space="0" w:color="auto"/>
              </w:divBdr>
            </w:div>
            <w:div w:id="1398623935">
              <w:marLeft w:val="0"/>
              <w:marRight w:val="0"/>
              <w:marTop w:val="0"/>
              <w:marBottom w:val="0"/>
              <w:divBdr>
                <w:top w:val="none" w:sz="0" w:space="0" w:color="auto"/>
                <w:left w:val="none" w:sz="0" w:space="0" w:color="auto"/>
                <w:bottom w:val="none" w:sz="0" w:space="0" w:color="auto"/>
                <w:right w:val="none" w:sz="0" w:space="0" w:color="auto"/>
              </w:divBdr>
              <w:divsChild>
                <w:div w:id="8979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47218">
          <w:marLeft w:val="0"/>
          <w:marRight w:val="0"/>
          <w:marTop w:val="0"/>
          <w:marBottom w:val="0"/>
          <w:divBdr>
            <w:top w:val="none" w:sz="0" w:space="0" w:color="auto"/>
            <w:left w:val="none" w:sz="0" w:space="0" w:color="auto"/>
            <w:bottom w:val="none" w:sz="0" w:space="0" w:color="auto"/>
            <w:right w:val="none" w:sz="0" w:space="0" w:color="auto"/>
          </w:divBdr>
          <w:divsChild>
            <w:div w:id="17587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340">
      <w:bodyDiv w:val="1"/>
      <w:marLeft w:val="0"/>
      <w:marRight w:val="0"/>
      <w:marTop w:val="0"/>
      <w:marBottom w:val="0"/>
      <w:divBdr>
        <w:top w:val="none" w:sz="0" w:space="0" w:color="auto"/>
        <w:left w:val="none" w:sz="0" w:space="0" w:color="auto"/>
        <w:bottom w:val="none" w:sz="0" w:space="0" w:color="auto"/>
        <w:right w:val="none" w:sz="0" w:space="0" w:color="auto"/>
      </w:divBdr>
    </w:div>
    <w:div w:id="236936033">
      <w:bodyDiv w:val="1"/>
      <w:marLeft w:val="0"/>
      <w:marRight w:val="0"/>
      <w:marTop w:val="0"/>
      <w:marBottom w:val="0"/>
      <w:divBdr>
        <w:top w:val="none" w:sz="0" w:space="0" w:color="auto"/>
        <w:left w:val="none" w:sz="0" w:space="0" w:color="auto"/>
        <w:bottom w:val="none" w:sz="0" w:space="0" w:color="auto"/>
        <w:right w:val="none" w:sz="0" w:space="0" w:color="auto"/>
      </w:divBdr>
    </w:div>
    <w:div w:id="618147390">
      <w:bodyDiv w:val="1"/>
      <w:marLeft w:val="0"/>
      <w:marRight w:val="0"/>
      <w:marTop w:val="0"/>
      <w:marBottom w:val="0"/>
      <w:divBdr>
        <w:top w:val="none" w:sz="0" w:space="0" w:color="auto"/>
        <w:left w:val="none" w:sz="0" w:space="0" w:color="auto"/>
        <w:bottom w:val="none" w:sz="0" w:space="0" w:color="auto"/>
        <w:right w:val="none" w:sz="0" w:space="0" w:color="auto"/>
      </w:divBdr>
    </w:div>
    <w:div w:id="654139710">
      <w:bodyDiv w:val="1"/>
      <w:marLeft w:val="0"/>
      <w:marRight w:val="0"/>
      <w:marTop w:val="0"/>
      <w:marBottom w:val="0"/>
      <w:divBdr>
        <w:top w:val="none" w:sz="0" w:space="0" w:color="auto"/>
        <w:left w:val="none" w:sz="0" w:space="0" w:color="auto"/>
        <w:bottom w:val="none" w:sz="0" w:space="0" w:color="auto"/>
        <w:right w:val="none" w:sz="0" w:space="0" w:color="auto"/>
      </w:divBdr>
    </w:div>
    <w:div w:id="656962970">
      <w:bodyDiv w:val="1"/>
      <w:marLeft w:val="0"/>
      <w:marRight w:val="0"/>
      <w:marTop w:val="0"/>
      <w:marBottom w:val="0"/>
      <w:divBdr>
        <w:top w:val="none" w:sz="0" w:space="0" w:color="auto"/>
        <w:left w:val="none" w:sz="0" w:space="0" w:color="auto"/>
        <w:bottom w:val="none" w:sz="0" w:space="0" w:color="auto"/>
        <w:right w:val="none" w:sz="0" w:space="0" w:color="auto"/>
      </w:divBdr>
    </w:div>
    <w:div w:id="804927947">
      <w:bodyDiv w:val="1"/>
      <w:marLeft w:val="0"/>
      <w:marRight w:val="0"/>
      <w:marTop w:val="0"/>
      <w:marBottom w:val="0"/>
      <w:divBdr>
        <w:top w:val="none" w:sz="0" w:space="0" w:color="auto"/>
        <w:left w:val="none" w:sz="0" w:space="0" w:color="auto"/>
        <w:bottom w:val="none" w:sz="0" w:space="0" w:color="auto"/>
        <w:right w:val="none" w:sz="0" w:space="0" w:color="auto"/>
      </w:divBdr>
    </w:div>
    <w:div w:id="1098940203">
      <w:bodyDiv w:val="1"/>
      <w:marLeft w:val="0"/>
      <w:marRight w:val="0"/>
      <w:marTop w:val="0"/>
      <w:marBottom w:val="0"/>
      <w:divBdr>
        <w:top w:val="none" w:sz="0" w:space="0" w:color="auto"/>
        <w:left w:val="none" w:sz="0" w:space="0" w:color="auto"/>
        <w:bottom w:val="none" w:sz="0" w:space="0" w:color="auto"/>
        <w:right w:val="none" w:sz="0" w:space="0" w:color="auto"/>
      </w:divBdr>
    </w:div>
    <w:div w:id="1268584142">
      <w:bodyDiv w:val="1"/>
      <w:marLeft w:val="0"/>
      <w:marRight w:val="0"/>
      <w:marTop w:val="0"/>
      <w:marBottom w:val="0"/>
      <w:divBdr>
        <w:top w:val="none" w:sz="0" w:space="0" w:color="auto"/>
        <w:left w:val="none" w:sz="0" w:space="0" w:color="auto"/>
        <w:bottom w:val="none" w:sz="0" w:space="0" w:color="auto"/>
        <w:right w:val="none" w:sz="0" w:space="0" w:color="auto"/>
      </w:divBdr>
    </w:div>
    <w:div w:id="1367831111">
      <w:bodyDiv w:val="1"/>
      <w:marLeft w:val="0"/>
      <w:marRight w:val="0"/>
      <w:marTop w:val="0"/>
      <w:marBottom w:val="0"/>
      <w:divBdr>
        <w:top w:val="none" w:sz="0" w:space="0" w:color="auto"/>
        <w:left w:val="none" w:sz="0" w:space="0" w:color="auto"/>
        <w:bottom w:val="none" w:sz="0" w:space="0" w:color="auto"/>
        <w:right w:val="none" w:sz="0" w:space="0" w:color="auto"/>
      </w:divBdr>
    </w:div>
    <w:div w:id="1393195565">
      <w:bodyDiv w:val="1"/>
      <w:marLeft w:val="0"/>
      <w:marRight w:val="0"/>
      <w:marTop w:val="0"/>
      <w:marBottom w:val="0"/>
      <w:divBdr>
        <w:top w:val="none" w:sz="0" w:space="0" w:color="auto"/>
        <w:left w:val="none" w:sz="0" w:space="0" w:color="auto"/>
        <w:bottom w:val="none" w:sz="0" w:space="0" w:color="auto"/>
        <w:right w:val="none" w:sz="0" w:space="0" w:color="auto"/>
      </w:divBdr>
    </w:div>
    <w:div w:id="1457405290">
      <w:bodyDiv w:val="1"/>
      <w:marLeft w:val="0"/>
      <w:marRight w:val="0"/>
      <w:marTop w:val="0"/>
      <w:marBottom w:val="0"/>
      <w:divBdr>
        <w:top w:val="none" w:sz="0" w:space="0" w:color="auto"/>
        <w:left w:val="none" w:sz="0" w:space="0" w:color="auto"/>
        <w:bottom w:val="none" w:sz="0" w:space="0" w:color="auto"/>
        <w:right w:val="none" w:sz="0" w:space="0" w:color="auto"/>
      </w:divBdr>
    </w:div>
    <w:div w:id="1486507728">
      <w:bodyDiv w:val="1"/>
      <w:marLeft w:val="0"/>
      <w:marRight w:val="0"/>
      <w:marTop w:val="0"/>
      <w:marBottom w:val="0"/>
      <w:divBdr>
        <w:top w:val="none" w:sz="0" w:space="0" w:color="auto"/>
        <w:left w:val="none" w:sz="0" w:space="0" w:color="auto"/>
        <w:bottom w:val="none" w:sz="0" w:space="0" w:color="auto"/>
        <w:right w:val="none" w:sz="0" w:space="0" w:color="auto"/>
      </w:divBdr>
    </w:div>
    <w:div w:id="1504315074">
      <w:bodyDiv w:val="1"/>
      <w:marLeft w:val="0"/>
      <w:marRight w:val="0"/>
      <w:marTop w:val="0"/>
      <w:marBottom w:val="0"/>
      <w:divBdr>
        <w:top w:val="none" w:sz="0" w:space="0" w:color="auto"/>
        <w:left w:val="none" w:sz="0" w:space="0" w:color="auto"/>
        <w:bottom w:val="none" w:sz="0" w:space="0" w:color="auto"/>
        <w:right w:val="none" w:sz="0" w:space="0" w:color="auto"/>
      </w:divBdr>
    </w:div>
    <w:div w:id="160761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js.victoria.ac.nz/pq/article/view/73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n@publicgood.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BCBA0-8613-46F3-9CB3-9BC1A9EF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28607</Words>
  <Characters>163060</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191285</CharactersWithSpaces>
  <SharedDoc>false</SharedDoc>
  <HLinks>
    <vt:vector size="78" baseType="variant">
      <vt:variant>
        <vt:i4>1966130</vt:i4>
      </vt:variant>
      <vt:variant>
        <vt:i4>74</vt:i4>
      </vt:variant>
      <vt:variant>
        <vt:i4>0</vt:i4>
      </vt:variant>
      <vt:variant>
        <vt:i4>5</vt:i4>
      </vt:variant>
      <vt:variant>
        <vt:lpwstr/>
      </vt:variant>
      <vt:variant>
        <vt:lpwstr>_Toc141441681</vt:lpwstr>
      </vt:variant>
      <vt:variant>
        <vt:i4>1966130</vt:i4>
      </vt:variant>
      <vt:variant>
        <vt:i4>68</vt:i4>
      </vt:variant>
      <vt:variant>
        <vt:i4>0</vt:i4>
      </vt:variant>
      <vt:variant>
        <vt:i4>5</vt:i4>
      </vt:variant>
      <vt:variant>
        <vt:lpwstr/>
      </vt:variant>
      <vt:variant>
        <vt:lpwstr>_Toc141441680</vt:lpwstr>
      </vt:variant>
      <vt:variant>
        <vt:i4>1114162</vt:i4>
      </vt:variant>
      <vt:variant>
        <vt:i4>62</vt:i4>
      </vt:variant>
      <vt:variant>
        <vt:i4>0</vt:i4>
      </vt:variant>
      <vt:variant>
        <vt:i4>5</vt:i4>
      </vt:variant>
      <vt:variant>
        <vt:lpwstr/>
      </vt:variant>
      <vt:variant>
        <vt:lpwstr>_Toc141441679</vt:lpwstr>
      </vt:variant>
      <vt:variant>
        <vt:i4>1114162</vt:i4>
      </vt:variant>
      <vt:variant>
        <vt:i4>56</vt:i4>
      </vt:variant>
      <vt:variant>
        <vt:i4>0</vt:i4>
      </vt:variant>
      <vt:variant>
        <vt:i4>5</vt:i4>
      </vt:variant>
      <vt:variant>
        <vt:lpwstr/>
      </vt:variant>
      <vt:variant>
        <vt:lpwstr>_Toc141441678</vt:lpwstr>
      </vt:variant>
      <vt:variant>
        <vt:i4>1114162</vt:i4>
      </vt:variant>
      <vt:variant>
        <vt:i4>50</vt:i4>
      </vt:variant>
      <vt:variant>
        <vt:i4>0</vt:i4>
      </vt:variant>
      <vt:variant>
        <vt:i4>5</vt:i4>
      </vt:variant>
      <vt:variant>
        <vt:lpwstr/>
      </vt:variant>
      <vt:variant>
        <vt:lpwstr>_Toc141441677</vt:lpwstr>
      </vt:variant>
      <vt:variant>
        <vt:i4>1114162</vt:i4>
      </vt:variant>
      <vt:variant>
        <vt:i4>44</vt:i4>
      </vt:variant>
      <vt:variant>
        <vt:i4>0</vt:i4>
      </vt:variant>
      <vt:variant>
        <vt:i4>5</vt:i4>
      </vt:variant>
      <vt:variant>
        <vt:lpwstr/>
      </vt:variant>
      <vt:variant>
        <vt:lpwstr>_Toc141441676</vt:lpwstr>
      </vt:variant>
      <vt:variant>
        <vt:i4>1114162</vt:i4>
      </vt:variant>
      <vt:variant>
        <vt:i4>38</vt:i4>
      </vt:variant>
      <vt:variant>
        <vt:i4>0</vt:i4>
      </vt:variant>
      <vt:variant>
        <vt:i4>5</vt:i4>
      </vt:variant>
      <vt:variant>
        <vt:lpwstr/>
      </vt:variant>
      <vt:variant>
        <vt:lpwstr>_Toc141441675</vt:lpwstr>
      </vt:variant>
      <vt:variant>
        <vt:i4>1114162</vt:i4>
      </vt:variant>
      <vt:variant>
        <vt:i4>32</vt:i4>
      </vt:variant>
      <vt:variant>
        <vt:i4>0</vt:i4>
      </vt:variant>
      <vt:variant>
        <vt:i4>5</vt:i4>
      </vt:variant>
      <vt:variant>
        <vt:lpwstr/>
      </vt:variant>
      <vt:variant>
        <vt:lpwstr>_Toc141441674</vt:lpwstr>
      </vt:variant>
      <vt:variant>
        <vt:i4>1114162</vt:i4>
      </vt:variant>
      <vt:variant>
        <vt:i4>26</vt:i4>
      </vt:variant>
      <vt:variant>
        <vt:i4>0</vt:i4>
      </vt:variant>
      <vt:variant>
        <vt:i4>5</vt:i4>
      </vt:variant>
      <vt:variant>
        <vt:lpwstr/>
      </vt:variant>
      <vt:variant>
        <vt:lpwstr>_Toc141441673</vt:lpwstr>
      </vt:variant>
      <vt:variant>
        <vt:i4>1114162</vt:i4>
      </vt:variant>
      <vt:variant>
        <vt:i4>20</vt:i4>
      </vt:variant>
      <vt:variant>
        <vt:i4>0</vt:i4>
      </vt:variant>
      <vt:variant>
        <vt:i4>5</vt:i4>
      </vt:variant>
      <vt:variant>
        <vt:lpwstr/>
      </vt:variant>
      <vt:variant>
        <vt:lpwstr>_Toc141441672</vt:lpwstr>
      </vt:variant>
      <vt:variant>
        <vt:i4>1114162</vt:i4>
      </vt:variant>
      <vt:variant>
        <vt:i4>14</vt:i4>
      </vt:variant>
      <vt:variant>
        <vt:i4>0</vt:i4>
      </vt:variant>
      <vt:variant>
        <vt:i4>5</vt:i4>
      </vt:variant>
      <vt:variant>
        <vt:lpwstr/>
      </vt:variant>
      <vt:variant>
        <vt:lpwstr>_Toc141441671</vt:lpwstr>
      </vt:variant>
      <vt:variant>
        <vt:i4>1114162</vt:i4>
      </vt:variant>
      <vt:variant>
        <vt:i4>8</vt:i4>
      </vt:variant>
      <vt:variant>
        <vt:i4>0</vt:i4>
      </vt:variant>
      <vt:variant>
        <vt:i4>5</vt:i4>
      </vt:variant>
      <vt:variant>
        <vt:lpwstr/>
      </vt:variant>
      <vt:variant>
        <vt:lpwstr>_Toc141441670</vt:lpwstr>
      </vt:variant>
      <vt:variant>
        <vt:i4>1048626</vt:i4>
      </vt:variant>
      <vt:variant>
        <vt:i4>2</vt:i4>
      </vt:variant>
      <vt:variant>
        <vt:i4>0</vt:i4>
      </vt:variant>
      <vt:variant>
        <vt:i4>5</vt:i4>
      </vt:variant>
      <vt:variant>
        <vt:lpwstr/>
      </vt:variant>
      <vt:variant>
        <vt:lpwstr>_Toc141441669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2024-01-12T23:56:00Z</dcterms:created>
  <dcterms:modified xsi:type="dcterms:W3CDTF">2024-01-13T00:29:00Z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id="zHQXAGV3"/&gt;&lt;style id="" hasBibliography="0" bibliographyStyleHasBeenSet="0"/&gt;&lt;prefs/&gt;&lt;/data&gt;</vt:lpwstr>
  </property>
</Properties>
</file>